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CFBF5" w14:textId="4E2588AA" w:rsidR="00F805C5" w:rsidRPr="00F06CCA" w:rsidRDefault="00892D73" w:rsidP="00F06CCA">
      <w:pPr>
        <w:sectPr w:rsidR="00F805C5" w:rsidRPr="00F06CCA">
          <w:pgSz w:w="12240" w:h="15840"/>
          <w:pgMar w:top="780" w:right="1340" w:bottom="620" w:left="1340" w:header="447" w:footer="438" w:gutter="0"/>
          <w:cols w:space="720"/>
        </w:sectPr>
      </w:pPr>
      <w:bookmarkStart w:id="0" w:name="_Hlk11318875"/>
      <w:bookmarkStart w:id="1" w:name="_Hlk4479948"/>
      <w:bookmarkStart w:id="2" w:name="_Hlk4584687"/>
      <w:r w:rsidRPr="009E4B9A">
        <w:rPr>
          <w:b/>
          <w:bCs/>
        </w:rPr>
        <w:t xml:space="preserve">SAMPLE – For Reference Only – </w:t>
      </w:r>
      <w:r w:rsidR="008F1644" w:rsidRPr="00F06CCA">
        <w:t>This</w:t>
      </w:r>
      <w:r w:rsidRPr="00F06CCA">
        <w:t xml:space="preserve"> </w:t>
      </w:r>
      <w:r w:rsidR="008F1644" w:rsidRPr="00F06CCA">
        <w:t>sample is a</w:t>
      </w:r>
      <w:r w:rsidRPr="00F06CCA">
        <w:t xml:space="preserve"> redacted cop</w:t>
      </w:r>
      <w:r w:rsidR="008F1644" w:rsidRPr="00F06CCA">
        <w:t>y</w:t>
      </w:r>
      <w:r w:rsidRPr="00F06CCA">
        <w:t xml:space="preserve"> of </w:t>
      </w:r>
      <w:r w:rsidR="008F1644" w:rsidRPr="00F06CCA">
        <w:t xml:space="preserve">a </w:t>
      </w:r>
      <w:r w:rsidRPr="00F06CCA">
        <w:t xml:space="preserve">work statement accomplished under </w:t>
      </w:r>
      <w:r w:rsidR="008F1644" w:rsidRPr="00F06CCA">
        <w:t>a</w:t>
      </w:r>
      <w:r w:rsidRPr="00F06CCA">
        <w:t xml:space="preserve"> NITAAC GWAC.</w:t>
      </w:r>
      <w:r w:rsidR="00F06CCA">
        <w:t xml:space="preserve"> </w:t>
      </w:r>
      <w:r w:rsidR="00F805C5" w:rsidRPr="00F06CCA">
        <w:rPr>
          <w:rFonts w:eastAsiaTheme="minorHAnsi"/>
        </w:rPr>
        <w:t xml:space="preserve">A Statement of Work (SOW) is typically used when the task is well-known and can be described in specific terms. Statement of Objective (SOO) and Performance Work Statement (PWS) emphasize performance-based concepts such as desired service outcomes and performance standards. Whereas PWS/SOO's establish high-level outcomes and objectives for performance and PWS's emphasize outcomes, desired results and objectives at a more detailed and measurable level, SOW's provide explicit statements of work direction for the contractor to follow. However, SOW's can also be found to contain references to desired performance outcomes, performance standards, and metrics, which is a preferred approach. The Table of Contents below is informational only and is provided to you for purposes of outlining the PWS/SOO/SOW. </w:t>
      </w:r>
      <w:r w:rsidR="00BF52AC" w:rsidRPr="00BF52AC">
        <w:rPr>
          <w:b/>
          <w:bCs/>
        </w:rPr>
        <w:t>This sample is not all inclusive, therefore the reader is cautioned to use professional judgment and include agency specific references and regulations to their own PWS/SOO/SOW.</w:t>
      </w:r>
    </w:p>
    <w:bookmarkEnd w:id="2" w:displacedByCustomXml="next"/>
    <w:bookmarkEnd w:id="1" w:displacedByCustomXml="next"/>
    <w:bookmarkEnd w:id="0" w:displacedByCustomXml="next"/>
    <w:sdt>
      <w:sdtPr>
        <w:id w:val="12835501"/>
        <w:docPartObj>
          <w:docPartGallery w:val="Cover Pages"/>
          <w:docPartUnique/>
        </w:docPartObj>
      </w:sdtPr>
      <w:sdtEndPr/>
      <w:sdtContent>
        <w:sdt>
          <w:sdtPr>
            <w:id w:val="-415177215"/>
            <w:docPartObj>
              <w:docPartGallery w:val="Table of Contents"/>
              <w:docPartUnique/>
            </w:docPartObj>
          </w:sdtPr>
          <w:sdtEndPr>
            <w:rPr>
              <w:b/>
              <w:bCs/>
              <w:noProof/>
            </w:rPr>
          </w:sdtEndPr>
          <w:sdtContent>
            <w:p w14:paraId="24EAC13B" w14:textId="5A461FAE" w:rsidR="00F06CCA" w:rsidRPr="0005262C" w:rsidRDefault="00F06CCA" w:rsidP="00F06CCA">
              <w:pPr>
                <w:rPr>
                  <w:rFonts w:cs="Arial"/>
                </w:rPr>
              </w:pPr>
              <w:r w:rsidRPr="0005262C">
                <w:rPr>
                  <w:rFonts w:cs="Arial"/>
                </w:rPr>
                <w:t>Table of Contents</w:t>
              </w:r>
            </w:p>
            <w:p w14:paraId="31C570AC" w14:textId="6A707B45" w:rsidR="00A05195" w:rsidRPr="0005262C" w:rsidRDefault="00F06CCA">
              <w:pPr>
                <w:pStyle w:val="TOC1"/>
                <w:tabs>
                  <w:tab w:val="left" w:pos="480"/>
                  <w:tab w:val="right" w:leader="dot" w:pos="9350"/>
                </w:tabs>
                <w:rPr>
                  <w:rFonts w:ascii="Arial" w:eastAsiaTheme="minorEastAsia" w:hAnsi="Arial" w:cs="Arial"/>
                  <w:b w:val="0"/>
                  <w:bCs w:val="0"/>
                  <w:i w:val="0"/>
                  <w:iCs w:val="0"/>
                  <w:noProof/>
                  <w:lang w:val="en-US"/>
                </w:rPr>
              </w:pPr>
              <w:r w:rsidRPr="0005262C">
                <w:rPr>
                  <w:rFonts w:ascii="Arial" w:hAnsi="Arial" w:cs="Arial"/>
                  <w:b w:val="0"/>
                  <w:bCs w:val="0"/>
                </w:rPr>
                <w:fldChar w:fldCharType="begin"/>
              </w:r>
              <w:r w:rsidRPr="0005262C">
                <w:rPr>
                  <w:rFonts w:ascii="Arial" w:hAnsi="Arial" w:cs="Arial"/>
                </w:rPr>
                <w:instrText xml:space="preserve"> TOC \o "1-3" \h \z \u </w:instrText>
              </w:r>
              <w:r w:rsidRPr="0005262C">
                <w:rPr>
                  <w:rFonts w:ascii="Arial" w:hAnsi="Arial" w:cs="Arial"/>
                  <w:b w:val="0"/>
                  <w:bCs w:val="0"/>
                </w:rPr>
                <w:fldChar w:fldCharType="separate"/>
              </w:r>
              <w:hyperlink w:anchor="_Toc11828347" w:history="1">
                <w:r w:rsidR="00A05195" w:rsidRPr="0005262C">
                  <w:rPr>
                    <w:rStyle w:val="Hyperlink"/>
                    <w:rFonts w:ascii="Arial" w:hAnsi="Arial" w:cs="Arial"/>
                    <w:noProof/>
                  </w:rPr>
                  <w:t>1.</w:t>
                </w:r>
                <w:r w:rsidR="00A05195" w:rsidRPr="0005262C">
                  <w:rPr>
                    <w:rFonts w:ascii="Arial" w:eastAsiaTheme="minorEastAsia" w:hAnsi="Arial" w:cs="Arial"/>
                    <w:b w:val="0"/>
                    <w:bCs w:val="0"/>
                    <w:i w:val="0"/>
                    <w:iCs w:val="0"/>
                    <w:noProof/>
                    <w:lang w:val="en-US"/>
                  </w:rPr>
                  <w:tab/>
                </w:r>
                <w:r w:rsidR="00A05195" w:rsidRPr="0005262C">
                  <w:rPr>
                    <w:rStyle w:val="Hyperlink"/>
                    <w:rFonts w:ascii="Arial" w:hAnsi="Arial" w:cs="Arial"/>
                    <w:noProof/>
                  </w:rPr>
                  <w:t>Background</w:t>
                </w:r>
                <w:r w:rsidR="00A05195" w:rsidRPr="0005262C">
                  <w:rPr>
                    <w:rFonts w:ascii="Arial" w:hAnsi="Arial" w:cs="Arial"/>
                    <w:noProof/>
                    <w:webHidden/>
                  </w:rPr>
                  <w:tab/>
                </w:r>
                <w:r w:rsidR="00A05195" w:rsidRPr="0005262C">
                  <w:rPr>
                    <w:rFonts w:ascii="Arial" w:hAnsi="Arial" w:cs="Arial"/>
                    <w:noProof/>
                    <w:webHidden/>
                  </w:rPr>
                  <w:fldChar w:fldCharType="begin"/>
                </w:r>
                <w:r w:rsidR="00A05195" w:rsidRPr="0005262C">
                  <w:rPr>
                    <w:rFonts w:ascii="Arial" w:hAnsi="Arial" w:cs="Arial"/>
                    <w:noProof/>
                    <w:webHidden/>
                  </w:rPr>
                  <w:instrText xml:space="preserve"> PAGEREF _Toc11828347 \h </w:instrText>
                </w:r>
                <w:r w:rsidR="00A05195" w:rsidRPr="0005262C">
                  <w:rPr>
                    <w:rFonts w:ascii="Arial" w:hAnsi="Arial" w:cs="Arial"/>
                    <w:noProof/>
                    <w:webHidden/>
                  </w:rPr>
                </w:r>
                <w:r w:rsidR="00A05195" w:rsidRPr="0005262C">
                  <w:rPr>
                    <w:rFonts w:ascii="Arial" w:hAnsi="Arial" w:cs="Arial"/>
                    <w:noProof/>
                    <w:webHidden/>
                  </w:rPr>
                  <w:fldChar w:fldCharType="separate"/>
                </w:r>
                <w:r w:rsidR="00A05195" w:rsidRPr="0005262C">
                  <w:rPr>
                    <w:rFonts w:ascii="Arial" w:hAnsi="Arial" w:cs="Arial"/>
                    <w:noProof/>
                    <w:webHidden/>
                  </w:rPr>
                  <w:t>2</w:t>
                </w:r>
                <w:r w:rsidR="00A05195" w:rsidRPr="0005262C">
                  <w:rPr>
                    <w:rFonts w:ascii="Arial" w:hAnsi="Arial" w:cs="Arial"/>
                    <w:noProof/>
                    <w:webHidden/>
                  </w:rPr>
                  <w:fldChar w:fldCharType="end"/>
                </w:r>
              </w:hyperlink>
            </w:p>
            <w:p w14:paraId="7E803FD6" w14:textId="2CDA7C12" w:rsidR="00A05195" w:rsidRPr="0005262C" w:rsidRDefault="00BF52AC">
              <w:pPr>
                <w:pStyle w:val="TOC2"/>
                <w:tabs>
                  <w:tab w:val="left" w:pos="960"/>
                  <w:tab w:val="right" w:leader="dot" w:pos="9350"/>
                </w:tabs>
                <w:rPr>
                  <w:rFonts w:ascii="Arial" w:eastAsiaTheme="minorEastAsia" w:hAnsi="Arial" w:cs="Arial"/>
                  <w:b w:val="0"/>
                  <w:bCs w:val="0"/>
                  <w:noProof/>
                  <w:sz w:val="24"/>
                  <w:szCs w:val="24"/>
                  <w:lang w:val="en-US"/>
                </w:rPr>
              </w:pPr>
              <w:hyperlink w:anchor="_Toc11828348" w:history="1">
                <w:r w:rsidR="00A05195" w:rsidRPr="0005262C">
                  <w:rPr>
                    <w:rStyle w:val="Hyperlink"/>
                    <w:rFonts w:ascii="Arial" w:hAnsi="Arial" w:cs="Arial"/>
                    <w:noProof/>
                    <w:sz w:val="24"/>
                    <w:szCs w:val="24"/>
                  </w:rPr>
                  <w:t>1.1.</w:t>
                </w:r>
                <w:r w:rsidR="00A05195" w:rsidRPr="0005262C">
                  <w:rPr>
                    <w:rFonts w:ascii="Arial" w:eastAsiaTheme="minorEastAsia" w:hAnsi="Arial" w:cs="Arial"/>
                    <w:b w:val="0"/>
                    <w:bCs w:val="0"/>
                    <w:noProof/>
                    <w:sz w:val="24"/>
                    <w:szCs w:val="24"/>
                    <w:lang w:val="en-US"/>
                  </w:rPr>
                  <w:tab/>
                </w:r>
                <w:r w:rsidR="00A05195" w:rsidRPr="0005262C">
                  <w:rPr>
                    <w:rStyle w:val="Hyperlink"/>
                    <w:rFonts w:ascii="Arial" w:hAnsi="Arial" w:cs="Arial"/>
                    <w:noProof/>
                    <w:sz w:val="24"/>
                    <w:szCs w:val="24"/>
                  </w:rPr>
                  <w:t>Mission of the &lt;AGENCY&gt;</w:t>
                </w:r>
                <w:r w:rsidR="00A05195" w:rsidRPr="0005262C">
                  <w:rPr>
                    <w:rFonts w:ascii="Arial" w:hAnsi="Arial" w:cs="Arial"/>
                    <w:noProof/>
                    <w:webHidden/>
                    <w:sz w:val="24"/>
                    <w:szCs w:val="24"/>
                  </w:rPr>
                  <w:tab/>
                </w:r>
                <w:r w:rsidR="00A05195" w:rsidRPr="0005262C">
                  <w:rPr>
                    <w:rFonts w:ascii="Arial" w:hAnsi="Arial" w:cs="Arial"/>
                    <w:noProof/>
                    <w:webHidden/>
                    <w:sz w:val="24"/>
                    <w:szCs w:val="24"/>
                  </w:rPr>
                  <w:fldChar w:fldCharType="begin"/>
                </w:r>
                <w:r w:rsidR="00A05195" w:rsidRPr="0005262C">
                  <w:rPr>
                    <w:rFonts w:ascii="Arial" w:hAnsi="Arial" w:cs="Arial"/>
                    <w:noProof/>
                    <w:webHidden/>
                    <w:sz w:val="24"/>
                    <w:szCs w:val="24"/>
                  </w:rPr>
                  <w:instrText xml:space="preserve"> PAGEREF _Toc11828348 \h </w:instrText>
                </w:r>
                <w:r w:rsidR="00A05195" w:rsidRPr="0005262C">
                  <w:rPr>
                    <w:rFonts w:ascii="Arial" w:hAnsi="Arial" w:cs="Arial"/>
                    <w:noProof/>
                    <w:webHidden/>
                    <w:sz w:val="24"/>
                    <w:szCs w:val="24"/>
                  </w:rPr>
                </w:r>
                <w:r w:rsidR="00A05195" w:rsidRPr="0005262C">
                  <w:rPr>
                    <w:rFonts w:ascii="Arial" w:hAnsi="Arial" w:cs="Arial"/>
                    <w:noProof/>
                    <w:webHidden/>
                    <w:sz w:val="24"/>
                    <w:szCs w:val="24"/>
                  </w:rPr>
                  <w:fldChar w:fldCharType="separate"/>
                </w:r>
                <w:r w:rsidR="00A05195" w:rsidRPr="0005262C">
                  <w:rPr>
                    <w:rFonts w:ascii="Arial" w:hAnsi="Arial" w:cs="Arial"/>
                    <w:noProof/>
                    <w:webHidden/>
                    <w:sz w:val="24"/>
                    <w:szCs w:val="24"/>
                  </w:rPr>
                  <w:t>2</w:t>
                </w:r>
                <w:r w:rsidR="00A05195" w:rsidRPr="0005262C">
                  <w:rPr>
                    <w:rFonts w:ascii="Arial" w:hAnsi="Arial" w:cs="Arial"/>
                    <w:noProof/>
                    <w:webHidden/>
                    <w:sz w:val="24"/>
                    <w:szCs w:val="24"/>
                  </w:rPr>
                  <w:fldChar w:fldCharType="end"/>
                </w:r>
              </w:hyperlink>
            </w:p>
            <w:p w14:paraId="191DEE47" w14:textId="12B42E11" w:rsidR="00A05195" w:rsidRPr="0005262C" w:rsidRDefault="00BF52AC">
              <w:pPr>
                <w:pStyle w:val="TOC2"/>
                <w:tabs>
                  <w:tab w:val="left" w:pos="960"/>
                  <w:tab w:val="right" w:leader="dot" w:pos="9350"/>
                </w:tabs>
                <w:rPr>
                  <w:rFonts w:ascii="Arial" w:eastAsiaTheme="minorEastAsia" w:hAnsi="Arial" w:cs="Arial"/>
                  <w:b w:val="0"/>
                  <w:bCs w:val="0"/>
                  <w:noProof/>
                  <w:sz w:val="24"/>
                  <w:szCs w:val="24"/>
                  <w:lang w:val="en-US"/>
                </w:rPr>
              </w:pPr>
              <w:hyperlink w:anchor="_Toc11828349" w:history="1">
                <w:r w:rsidR="00A05195" w:rsidRPr="0005262C">
                  <w:rPr>
                    <w:rStyle w:val="Hyperlink"/>
                    <w:rFonts w:ascii="Arial" w:hAnsi="Arial" w:cs="Arial"/>
                    <w:noProof/>
                    <w:sz w:val="24"/>
                    <w:szCs w:val="24"/>
                  </w:rPr>
                  <w:t>1.2.</w:t>
                </w:r>
                <w:r w:rsidR="00A05195" w:rsidRPr="0005262C">
                  <w:rPr>
                    <w:rFonts w:ascii="Arial" w:eastAsiaTheme="minorEastAsia" w:hAnsi="Arial" w:cs="Arial"/>
                    <w:b w:val="0"/>
                    <w:bCs w:val="0"/>
                    <w:noProof/>
                    <w:sz w:val="24"/>
                    <w:szCs w:val="24"/>
                    <w:lang w:val="en-US"/>
                  </w:rPr>
                  <w:tab/>
                </w:r>
                <w:r w:rsidR="00A05195" w:rsidRPr="0005262C">
                  <w:rPr>
                    <w:rStyle w:val="Hyperlink"/>
                    <w:rFonts w:ascii="Arial" w:hAnsi="Arial" w:cs="Arial"/>
                    <w:noProof/>
                    <w:sz w:val="24"/>
                    <w:szCs w:val="24"/>
                  </w:rPr>
                  <w:t>Mission of the Chief Financial Officer (CFO)</w:t>
                </w:r>
                <w:r w:rsidR="00A05195" w:rsidRPr="0005262C">
                  <w:rPr>
                    <w:rFonts w:ascii="Arial" w:hAnsi="Arial" w:cs="Arial"/>
                    <w:noProof/>
                    <w:webHidden/>
                    <w:sz w:val="24"/>
                    <w:szCs w:val="24"/>
                  </w:rPr>
                  <w:tab/>
                </w:r>
                <w:r w:rsidR="00A05195" w:rsidRPr="0005262C">
                  <w:rPr>
                    <w:rFonts w:ascii="Arial" w:hAnsi="Arial" w:cs="Arial"/>
                    <w:noProof/>
                    <w:webHidden/>
                    <w:sz w:val="24"/>
                    <w:szCs w:val="24"/>
                  </w:rPr>
                  <w:fldChar w:fldCharType="begin"/>
                </w:r>
                <w:r w:rsidR="00A05195" w:rsidRPr="0005262C">
                  <w:rPr>
                    <w:rFonts w:ascii="Arial" w:hAnsi="Arial" w:cs="Arial"/>
                    <w:noProof/>
                    <w:webHidden/>
                    <w:sz w:val="24"/>
                    <w:szCs w:val="24"/>
                  </w:rPr>
                  <w:instrText xml:space="preserve"> PAGEREF _Toc11828349 \h </w:instrText>
                </w:r>
                <w:r w:rsidR="00A05195" w:rsidRPr="0005262C">
                  <w:rPr>
                    <w:rFonts w:ascii="Arial" w:hAnsi="Arial" w:cs="Arial"/>
                    <w:noProof/>
                    <w:webHidden/>
                    <w:sz w:val="24"/>
                    <w:szCs w:val="24"/>
                  </w:rPr>
                </w:r>
                <w:r w:rsidR="00A05195" w:rsidRPr="0005262C">
                  <w:rPr>
                    <w:rFonts w:ascii="Arial" w:hAnsi="Arial" w:cs="Arial"/>
                    <w:noProof/>
                    <w:webHidden/>
                    <w:sz w:val="24"/>
                    <w:szCs w:val="24"/>
                  </w:rPr>
                  <w:fldChar w:fldCharType="separate"/>
                </w:r>
                <w:r w:rsidR="00A05195" w:rsidRPr="0005262C">
                  <w:rPr>
                    <w:rFonts w:ascii="Arial" w:hAnsi="Arial" w:cs="Arial"/>
                    <w:noProof/>
                    <w:webHidden/>
                    <w:sz w:val="24"/>
                    <w:szCs w:val="24"/>
                  </w:rPr>
                  <w:t>2</w:t>
                </w:r>
                <w:r w:rsidR="00A05195" w:rsidRPr="0005262C">
                  <w:rPr>
                    <w:rFonts w:ascii="Arial" w:hAnsi="Arial" w:cs="Arial"/>
                    <w:noProof/>
                    <w:webHidden/>
                    <w:sz w:val="24"/>
                    <w:szCs w:val="24"/>
                  </w:rPr>
                  <w:fldChar w:fldCharType="end"/>
                </w:r>
              </w:hyperlink>
            </w:p>
            <w:p w14:paraId="2C4AE53F" w14:textId="611252D3" w:rsidR="00A05195" w:rsidRPr="0005262C" w:rsidRDefault="00BF52AC">
              <w:pPr>
                <w:pStyle w:val="TOC2"/>
                <w:tabs>
                  <w:tab w:val="left" w:pos="960"/>
                  <w:tab w:val="right" w:leader="dot" w:pos="9350"/>
                </w:tabs>
                <w:rPr>
                  <w:rFonts w:ascii="Arial" w:eastAsiaTheme="minorEastAsia" w:hAnsi="Arial" w:cs="Arial"/>
                  <w:b w:val="0"/>
                  <w:bCs w:val="0"/>
                  <w:noProof/>
                  <w:sz w:val="24"/>
                  <w:szCs w:val="24"/>
                  <w:lang w:val="en-US"/>
                </w:rPr>
              </w:pPr>
              <w:hyperlink w:anchor="_Toc11828350" w:history="1">
                <w:r w:rsidR="00A05195" w:rsidRPr="0005262C">
                  <w:rPr>
                    <w:rStyle w:val="Hyperlink"/>
                    <w:rFonts w:ascii="Arial" w:hAnsi="Arial" w:cs="Arial"/>
                    <w:noProof/>
                    <w:sz w:val="24"/>
                    <w:szCs w:val="24"/>
                  </w:rPr>
                  <w:t>1.3.</w:t>
                </w:r>
                <w:r w:rsidR="00A05195" w:rsidRPr="0005262C">
                  <w:rPr>
                    <w:rFonts w:ascii="Arial" w:eastAsiaTheme="minorEastAsia" w:hAnsi="Arial" w:cs="Arial"/>
                    <w:b w:val="0"/>
                    <w:bCs w:val="0"/>
                    <w:noProof/>
                    <w:sz w:val="24"/>
                    <w:szCs w:val="24"/>
                    <w:lang w:val="en-US"/>
                  </w:rPr>
                  <w:tab/>
                </w:r>
                <w:r w:rsidR="00A05195" w:rsidRPr="0005262C">
                  <w:rPr>
                    <w:rStyle w:val="Hyperlink"/>
                    <w:rFonts w:ascii="Arial" w:hAnsi="Arial" w:cs="Arial"/>
                    <w:noProof/>
                    <w:sz w:val="24"/>
                    <w:szCs w:val="24"/>
                  </w:rPr>
                  <w:t>Office of Corporate Information Systems</w:t>
                </w:r>
                <w:r w:rsidR="00A05195" w:rsidRPr="0005262C">
                  <w:rPr>
                    <w:rFonts w:ascii="Arial" w:hAnsi="Arial" w:cs="Arial"/>
                    <w:noProof/>
                    <w:webHidden/>
                    <w:sz w:val="24"/>
                    <w:szCs w:val="24"/>
                  </w:rPr>
                  <w:tab/>
                </w:r>
                <w:r w:rsidR="00A05195" w:rsidRPr="0005262C">
                  <w:rPr>
                    <w:rFonts w:ascii="Arial" w:hAnsi="Arial" w:cs="Arial"/>
                    <w:noProof/>
                    <w:webHidden/>
                    <w:sz w:val="24"/>
                    <w:szCs w:val="24"/>
                  </w:rPr>
                  <w:fldChar w:fldCharType="begin"/>
                </w:r>
                <w:r w:rsidR="00A05195" w:rsidRPr="0005262C">
                  <w:rPr>
                    <w:rFonts w:ascii="Arial" w:hAnsi="Arial" w:cs="Arial"/>
                    <w:noProof/>
                    <w:webHidden/>
                    <w:sz w:val="24"/>
                    <w:szCs w:val="24"/>
                  </w:rPr>
                  <w:instrText xml:space="preserve"> PAGEREF _Toc11828350 \h </w:instrText>
                </w:r>
                <w:r w:rsidR="00A05195" w:rsidRPr="0005262C">
                  <w:rPr>
                    <w:rFonts w:ascii="Arial" w:hAnsi="Arial" w:cs="Arial"/>
                    <w:noProof/>
                    <w:webHidden/>
                    <w:sz w:val="24"/>
                    <w:szCs w:val="24"/>
                  </w:rPr>
                </w:r>
                <w:r w:rsidR="00A05195" w:rsidRPr="0005262C">
                  <w:rPr>
                    <w:rFonts w:ascii="Arial" w:hAnsi="Arial" w:cs="Arial"/>
                    <w:noProof/>
                    <w:webHidden/>
                    <w:sz w:val="24"/>
                    <w:szCs w:val="24"/>
                  </w:rPr>
                  <w:fldChar w:fldCharType="separate"/>
                </w:r>
                <w:r w:rsidR="00A05195" w:rsidRPr="0005262C">
                  <w:rPr>
                    <w:rFonts w:ascii="Arial" w:hAnsi="Arial" w:cs="Arial"/>
                    <w:noProof/>
                    <w:webHidden/>
                    <w:sz w:val="24"/>
                    <w:szCs w:val="24"/>
                  </w:rPr>
                  <w:t>2</w:t>
                </w:r>
                <w:r w:rsidR="00A05195" w:rsidRPr="0005262C">
                  <w:rPr>
                    <w:rFonts w:ascii="Arial" w:hAnsi="Arial" w:cs="Arial"/>
                    <w:noProof/>
                    <w:webHidden/>
                    <w:sz w:val="24"/>
                    <w:szCs w:val="24"/>
                  </w:rPr>
                  <w:fldChar w:fldCharType="end"/>
                </w:r>
              </w:hyperlink>
            </w:p>
            <w:p w14:paraId="5049785A" w14:textId="78C11845" w:rsidR="00A05195" w:rsidRPr="0005262C" w:rsidRDefault="00BF52AC">
              <w:pPr>
                <w:pStyle w:val="TOC1"/>
                <w:tabs>
                  <w:tab w:val="left" w:pos="480"/>
                  <w:tab w:val="right" w:leader="dot" w:pos="9350"/>
                </w:tabs>
                <w:rPr>
                  <w:rFonts w:ascii="Arial" w:eastAsiaTheme="minorEastAsia" w:hAnsi="Arial" w:cs="Arial"/>
                  <w:b w:val="0"/>
                  <w:bCs w:val="0"/>
                  <w:i w:val="0"/>
                  <w:iCs w:val="0"/>
                  <w:noProof/>
                  <w:lang w:val="en-US"/>
                </w:rPr>
              </w:pPr>
              <w:hyperlink w:anchor="_Toc11828351" w:history="1">
                <w:r w:rsidR="00A05195" w:rsidRPr="0005262C">
                  <w:rPr>
                    <w:rStyle w:val="Hyperlink"/>
                    <w:rFonts w:ascii="Arial" w:hAnsi="Arial" w:cs="Arial"/>
                    <w:noProof/>
                  </w:rPr>
                  <w:t>2.</w:t>
                </w:r>
                <w:r w:rsidR="00A05195" w:rsidRPr="0005262C">
                  <w:rPr>
                    <w:rFonts w:ascii="Arial" w:eastAsiaTheme="minorEastAsia" w:hAnsi="Arial" w:cs="Arial"/>
                    <w:b w:val="0"/>
                    <w:bCs w:val="0"/>
                    <w:i w:val="0"/>
                    <w:iCs w:val="0"/>
                    <w:noProof/>
                    <w:lang w:val="en-US"/>
                  </w:rPr>
                  <w:tab/>
                </w:r>
                <w:r w:rsidR="00A05195" w:rsidRPr="0005262C">
                  <w:rPr>
                    <w:rStyle w:val="Hyperlink"/>
                    <w:rFonts w:ascii="Arial" w:hAnsi="Arial" w:cs="Arial"/>
                    <w:noProof/>
                  </w:rPr>
                  <w:t>Collaboration</w:t>
                </w:r>
                <w:r w:rsidR="00A05195" w:rsidRPr="0005262C">
                  <w:rPr>
                    <w:rFonts w:ascii="Arial" w:hAnsi="Arial" w:cs="Arial"/>
                    <w:noProof/>
                    <w:webHidden/>
                  </w:rPr>
                  <w:tab/>
                </w:r>
                <w:r w:rsidR="00A05195" w:rsidRPr="0005262C">
                  <w:rPr>
                    <w:rFonts w:ascii="Arial" w:hAnsi="Arial" w:cs="Arial"/>
                    <w:noProof/>
                    <w:webHidden/>
                  </w:rPr>
                  <w:fldChar w:fldCharType="begin"/>
                </w:r>
                <w:r w:rsidR="00A05195" w:rsidRPr="0005262C">
                  <w:rPr>
                    <w:rFonts w:ascii="Arial" w:hAnsi="Arial" w:cs="Arial"/>
                    <w:noProof/>
                    <w:webHidden/>
                  </w:rPr>
                  <w:instrText xml:space="preserve"> PAGEREF _Toc11828351 \h </w:instrText>
                </w:r>
                <w:r w:rsidR="00A05195" w:rsidRPr="0005262C">
                  <w:rPr>
                    <w:rFonts w:ascii="Arial" w:hAnsi="Arial" w:cs="Arial"/>
                    <w:noProof/>
                    <w:webHidden/>
                  </w:rPr>
                </w:r>
                <w:r w:rsidR="00A05195" w:rsidRPr="0005262C">
                  <w:rPr>
                    <w:rFonts w:ascii="Arial" w:hAnsi="Arial" w:cs="Arial"/>
                    <w:noProof/>
                    <w:webHidden/>
                  </w:rPr>
                  <w:fldChar w:fldCharType="separate"/>
                </w:r>
                <w:r w:rsidR="00A05195" w:rsidRPr="0005262C">
                  <w:rPr>
                    <w:rFonts w:ascii="Arial" w:hAnsi="Arial" w:cs="Arial"/>
                    <w:noProof/>
                    <w:webHidden/>
                  </w:rPr>
                  <w:t>3</w:t>
                </w:r>
                <w:r w:rsidR="00A05195" w:rsidRPr="0005262C">
                  <w:rPr>
                    <w:rFonts w:ascii="Arial" w:hAnsi="Arial" w:cs="Arial"/>
                    <w:noProof/>
                    <w:webHidden/>
                  </w:rPr>
                  <w:fldChar w:fldCharType="end"/>
                </w:r>
              </w:hyperlink>
            </w:p>
            <w:p w14:paraId="2D9B0610" w14:textId="7D485E1A" w:rsidR="00A05195" w:rsidRPr="0005262C" w:rsidRDefault="00BF52AC">
              <w:pPr>
                <w:pStyle w:val="TOC1"/>
                <w:tabs>
                  <w:tab w:val="left" w:pos="480"/>
                  <w:tab w:val="right" w:leader="dot" w:pos="9350"/>
                </w:tabs>
                <w:rPr>
                  <w:rFonts w:ascii="Arial" w:eastAsiaTheme="minorEastAsia" w:hAnsi="Arial" w:cs="Arial"/>
                  <w:b w:val="0"/>
                  <w:bCs w:val="0"/>
                  <w:i w:val="0"/>
                  <w:iCs w:val="0"/>
                  <w:noProof/>
                  <w:lang w:val="en-US"/>
                </w:rPr>
              </w:pPr>
              <w:hyperlink w:anchor="_Toc11828352" w:history="1">
                <w:r w:rsidR="00A05195" w:rsidRPr="0005262C">
                  <w:rPr>
                    <w:rStyle w:val="Hyperlink"/>
                    <w:rFonts w:ascii="Arial" w:hAnsi="Arial" w:cs="Arial"/>
                    <w:noProof/>
                  </w:rPr>
                  <w:t>3.</w:t>
                </w:r>
                <w:r w:rsidR="00A05195" w:rsidRPr="0005262C">
                  <w:rPr>
                    <w:rFonts w:ascii="Arial" w:eastAsiaTheme="minorEastAsia" w:hAnsi="Arial" w:cs="Arial"/>
                    <w:b w:val="0"/>
                    <w:bCs w:val="0"/>
                    <w:i w:val="0"/>
                    <w:iCs w:val="0"/>
                    <w:noProof/>
                    <w:lang w:val="en-US"/>
                  </w:rPr>
                  <w:tab/>
                </w:r>
                <w:r w:rsidR="00A05195" w:rsidRPr="0005262C">
                  <w:rPr>
                    <w:rStyle w:val="Hyperlink"/>
                    <w:rFonts w:ascii="Arial" w:hAnsi="Arial" w:cs="Arial"/>
                    <w:noProof/>
                  </w:rPr>
                  <w:t>Scope</w:t>
                </w:r>
                <w:r w:rsidR="00A05195" w:rsidRPr="0005262C">
                  <w:rPr>
                    <w:rFonts w:ascii="Arial" w:hAnsi="Arial" w:cs="Arial"/>
                    <w:noProof/>
                    <w:webHidden/>
                  </w:rPr>
                  <w:tab/>
                </w:r>
                <w:r w:rsidR="00A05195" w:rsidRPr="0005262C">
                  <w:rPr>
                    <w:rFonts w:ascii="Arial" w:hAnsi="Arial" w:cs="Arial"/>
                    <w:noProof/>
                    <w:webHidden/>
                  </w:rPr>
                  <w:fldChar w:fldCharType="begin"/>
                </w:r>
                <w:r w:rsidR="00A05195" w:rsidRPr="0005262C">
                  <w:rPr>
                    <w:rFonts w:ascii="Arial" w:hAnsi="Arial" w:cs="Arial"/>
                    <w:noProof/>
                    <w:webHidden/>
                  </w:rPr>
                  <w:instrText xml:space="preserve"> PAGEREF _Toc11828352 \h </w:instrText>
                </w:r>
                <w:r w:rsidR="00A05195" w:rsidRPr="0005262C">
                  <w:rPr>
                    <w:rFonts w:ascii="Arial" w:hAnsi="Arial" w:cs="Arial"/>
                    <w:noProof/>
                    <w:webHidden/>
                  </w:rPr>
                </w:r>
                <w:r w:rsidR="00A05195" w:rsidRPr="0005262C">
                  <w:rPr>
                    <w:rFonts w:ascii="Arial" w:hAnsi="Arial" w:cs="Arial"/>
                    <w:noProof/>
                    <w:webHidden/>
                  </w:rPr>
                  <w:fldChar w:fldCharType="separate"/>
                </w:r>
                <w:r w:rsidR="00A05195" w:rsidRPr="0005262C">
                  <w:rPr>
                    <w:rFonts w:ascii="Arial" w:hAnsi="Arial" w:cs="Arial"/>
                    <w:noProof/>
                    <w:webHidden/>
                  </w:rPr>
                  <w:t>3</w:t>
                </w:r>
                <w:r w:rsidR="00A05195" w:rsidRPr="0005262C">
                  <w:rPr>
                    <w:rFonts w:ascii="Arial" w:hAnsi="Arial" w:cs="Arial"/>
                    <w:noProof/>
                    <w:webHidden/>
                  </w:rPr>
                  <w:fldChar w:fldCharType="end"/>
                </w:r>
              </w:hyperlink>
            </w:p>
            <w:p w14:paraId="2F4466D6" w14:textId="4DCEC30A" w:rsidR="00A05195" w:rsidRPr="0005262C" w:rsidRDefault="00BF52AC">
              <w:pPr>
                <w:pStyle w:val="TOC2"/>
                <w:tabs>
                  <w:tab w:val="left" w:pos="960"/>
                  <w:tab w:val="right" w:leader="dot" w:pos="9350"/>
                </w:tabs>
                <w:rPr>
                  <w:rFonts w:ascii="Arial" w:eastAsiaTheme="minorEastAsia" w:hAnsi="Arial" w:cs="Arial"/>
                  <w:b w:val="0"/>
                  <w:bCs w:val="0"/>
                  <w:noProof/>
                  <w:sz w:val="24"/>
                  <w:szCs w:val="24"/>
                  <w:lang w:val="en-US"/>
                </w:rPr>
              </w:pPr>
              <w:hyperlink w:anchor="_Toc11828353" w:history="1">
                <w:r w:rsidR="00A05195" w:rsidRPr="0005262C">
                  <w:rPr>
                    <w:rStyle w:val="Hyperlink"/>
                    <w:rFonts w:ascii="Arial" w:hAnsi="Arial" w:cs="Arial"/>
                    <w:noProof/>
                    <w:sz w:val="24"/>
                    <w:szCs w:val="24"/>
                  </w:rPr>
                  <w:t>3.1.</w:t>
                </w:r>
                <w:r w:rsidR="00A05195" w:rsidRPr="0005262C">
                  <w:rPr>
                    <w:rFonts w:ascii="Arial" w:eastAsiaTheme="minorEastAsia" w:hAnsi="Arial" w:cs="Arial"/>
                    <w:b w:val="0"/>
                    <w:bCs w:val="0"/>
                    <w:noProof/>
                    <w:sz w:val="24"/>
                    <w:szCs w:val="24"/>
                    <w:lang w:val="en-US"/>
                  </w:rPr>
                  <w:tab/>
                </w:r>
                <w:r w:rsidR="00A05195" w:rsidRPr="0005262C">
                  <w:rPr>
                    <w:rStyle w:val="Hyperlink"/>
                    <w:rFonts w:ascii="Arial" w:hAnsi="Arial" w:cs="Arial"/>
                    <w:noProof/>
                    <w:sz w:val="24"/>
                    <w:szCs w:val="24"/>
                  </w:rPr>
                  <w:t>Acquisition Objectives</w:t>
                </w:r>
                <w:r w:rsidR="00A05195" w:rsidRPr="0005262C">
                  <w:rPr>
                    <w:rFonts w:ascii="Arial" w:hAnsi="Arial" w:cs="Arial"/>
                    <w:noProof/>
                    <w:webHidden/>
                    <w:sz w:val="24"/>
                    <w:szCs w:val="24"/>
                  </w:rPr>
                  <w:tab/>
                </w:r>
                <w:r w:rsidR="00A05195" w:rsidRPr="0005262C">
                  <w:rPr>
                    <w:rFonts w:ascii="Arial" w:hAnsi="Arial" w:cs="Arial"/>
                    <w:noProof/>
                    <w:webHidden/>
                    <w:sz w:val="24"/>
                    <w:szCs w:val="24"/>
                  </w:rPr>
                  <w:fldChar w:fldCharType="begin"/>
                </w:r>
                <w:r w:rsidR="00A05195" w:rsidRPr="0005262C">
                  <w:rPr>
                    <w:rFonts w:ascii="Arial" w:hAnsi="Arial" w:cs="Arial"/>
                    <w:noProof/>
                    <w:webHidden/>
                    <w:sz w:val="24"/>
                    <w:szCs w:val="24"/>
                  </w:rPr>
                  <w:instrText xml:space="preserve"> PAGEREF _Toc11828353 \h </w:instrText>
                </w:r>
                <w:r w:rsidR="00A05195" w:rsidRPr="0005262C">
                  <w:rPr>
                    <w:rFonts w:ascii="Arial" w:hAnsi="Arial" w:cs="Arial"/>
                    <w:noProof/>
                    <w:webHidden/>
                    <w:sz w:val="24"/>
                    <w:szCs w:val="24"/>
                  </w:rPr>
                </w:r>
                <w:r w:rsidR="00A05195" w:rsidRPr="0005262C">
                  <w:rPr>
                    <w:rFonts w:ascii="Arial" w:hAnsi="Arial" w:cs="Arial"/>
                    <w:noProof/>
                    <w:webHidden/>
                    <w:sz w:val="24"/>
                    <w:szCs w:val="24"/>
                  </w:rPr>
                  <w:fldChar w:fldCharType="separate"/>
                </w:r>
                <w:r w:rsidR="00A05195" w:rsidRPr="0005262C">
                  <w:rPr>
                    <w:rFonts w:ascii="Arial" w:hAnsi="Arial" w:cs="Arial"/>
                    <w:noProof/>
                    <w:webHidden/>
                    <w:sz w:val="24"/>
                    <w:szCs w:val="24"/>
                  </w:rPr>
                  <w:t>3</w:t>
                </w:r>
                <w:r w:rsidR="00A05195" w:rsidRPr="0005262C">
                  <w:rPr>
                    <w:rFonts w:ascii="Arial" w:hAnsi="Arial" w:cs="Arial"/>
                    <w:noProof/>
                    <w:webHidden/>
                    <w:sz w:val="24"/>
                    <w:szCs w:val="24"/>
                  </w:rPr>
                  <w:fldChar w:fldCharType="end"/>
                </w:r>
              </w:hyperlink>
            </w:p>
            <w:p w14:paraId="6E29DD1B" w14:textId="719398F4" w:rsidR="00A05195" w:rsidRPr="0005262C" w:rsidRDefault="00BF52AC">
              <w:pPr>
                <w:pStyle w:val="TOC2"/>
                <w:tabs>
                  <w:tab w:val="left" w:pos="960"/>
                  <w:tab w:val="right" w:leader="dot" w:pos="9350"/>
                </w:tabs>
                <w:rPr>
                  <w:rFonts w:ascii="Arial" w:eastAsiaTheme="minorEastAsia" w:hAnsi="Arial" w:cs="Arial"/>
                  <w:b w:val="0"/>
                  <w:bCs w:val="0"/>
                  <w:noProof/>
                  <w:sz w:val="24"/>
                  <w:szCs w:val="24"/>
                  <w:lang w:val="en-US"/>
                </w:rPr>
              </w:pPr>
              <w:hyperlink w:anchor="_Toc11828354" w:history="1">
                <w:r w:rsidR="00A05195" w:rsidRPr="0005262C">
                  <w:rPr>
                    <w:rStyle w:val="Hyperlink"/>
                    <w:rFonts w:ascii="Arial" w:hAnsi="Arial" w:cs="Arial"/>
                    <w:noProof/>
                    <w:sz w:val="24"/>
                    <w:szCs w:val="24"/>
                  </w:rPr>
                  <w:t>3.2.</w:t>
                </w:r>
                <w:r w:rsidR="00A05195" w:rsidRPr="0005262C">
                  <w:rPr>
                    <w:rFonts w:ascii="Arial" w:eastAsiaTheme="minorEastAsia" w:hAnsi="Arial" w:cs="Arial"/>
                    <w:b w:val="0"/>
                    <w:bCs w:val="0"/>
                    <w:noProof/>
                    <w:sz w:val="24"/>
                    <w:szCs w:val="24"/>
                    <w:lang w:val="en-US"/>
                  </w:rPr>
                  <w:tab/>
                </w:r>
                <w:r w:rsidR="00A05195" w:rsidRPr="0005262C">
                  <w:rPr>
                    <w:rStyle w:val="Hyperlink"/>
                    <w:rFonts w:ascii="Arial" w:hAnsi="Arial" w:cs="Arial"/>
                    <w:noProof/>
                    <w:sz w:val="24"/>
                    <w:szCs w:val="24"/>
                  </w:rPr>
                  <w:t>Contractor Responsibilities</w:t>
                </w:r>
                <w:r w:rsidR="00A05195" w:rsidRPr="0005262C">
                  <w:rPr>
                    <w:rFonts w:ascii="Arial" w:hAnsi="Arial" w:cs="Arial"/>
                    <w:noProof/>
                    <w:webHidden/>
                    <w:sz w:val="24"/>
                    <w:szCs w:val="24"/>
                  </w:rPr>
                  <w:tab/>
                </w:r>
                <w:r w:rsidR="00A05195" w:rsidRPr="0005262C">
                  <w:rPr>
                    <w:rFonts w:ascii="Arial" w:hAnsi="Arial" w:cs="Arial"/>
                    <w:noProof/>
                    <w:webHidden/>
                    <w:sz w:val="24"/>
                    <w:szCs w:val="24"/>
                  </w:rPr>
                  <w:fldChar w:fldCharType="begin"/>
                </w:r>
                <w:r w:rsidR="00A05195" w:rsidRPr="0005262C">
                  <w:rPr>
                    <w:rFonts w:ascii="Arial" w:hAnsi="Arial" w:cs="Arial"/>
                    <w:noProof/>
                    <w:webHidden/>
                    <w:sz w:val="24"/>
                    <w:szCs w:val="24"/>
                  </w:rPr>
                  <w:instrText xml:space="preserve"> PAGEREF _Toc11828354 \h </w:instrText>
                </w:r>
                <w:r w:rsidR="00A05195" w:rsidRPr="0005262C">
                  <w:rPr>
                    <w:rFonts w:ascii="Arial" w:hAnsi="Arial" w:cs="Arial"/>
                    <w:noProof/>
                    <w:webHidden/>
                    <w:sz w:val="24"/>
                    <w:szCs w:val="24"/>
                  </w:rPr>
                </w:r>
                <w:r w:rsidR="00A05195" w:rsidRPr="0005262C">
                  <w:rPr>
                    <w:rFonts w:ascii="Arial" w:hAnsi="Arial" w:cs="Arial"/>
                    <w:noProof/>
                    <w:webHidden/>
                    <w:sz w:val="24"/>
                    <w:szCs w:val="24"/>
                  </w:rPr>
                  <w:fldChar w:fldCharType="separate"/>
                </w:r>
                <w:r w:rsidR="00A05195" w:rsidRPr="0005262C">
                  <w:rPr>
                    <w:rFonts w:ascii="Arial" w:hAnsi="Arial" w:cs="Arial"/>
                    <w:noProof/>
                    <w:webHidden/>
                    <w:sz w:val="24"/>
                    <w:szCs w:val="24"/>
                  </w:rPr>
                  <w:t>4</w:t>
                </w:r>
                <w:r w:rsidR="00A05195" w:rsidRPr="0005262C">
                  <w:rPr>
                    <w:rFonts w:ascii="Arial" w:hAnsi="Arial" w:cs="Arial"/>
                    <w:noProof/>
                    <w:webHidden/>
                    <w:sz w:val="24"/>
                    <w:szCs w:val="24"/>
                  </w:rPr>
                  <w:fldChar w:fldCharType="end"/>
                </w:r>
              </w:hyperlink>
            </w:p>
            <w:p w14:paraId="57144BF2" w14:textId="1C40C201" w:rsidR="00A05195" w:rsidRPr="0005262C" w:rsidRDefault="00BF52AC">
              <w:pPr>
                <w:pStyle w:val="TOC3"/>
                <w:tabs>
                  <w:tab w:val="left" w:pos="1200"/>
                  <w:tab w:val="right" w:leader="dot" w:pos="9350"/>
                </w:tabs>
                <w:rPr>
                  <w:rFonts w:ascii="Arial" w:eastAsiaTheme="minorEastAsia" w:hAnsi="Arial" w:cs="Arial"/>
                  <w:noProof/>
                  <w:sz w:val="24"/>
                  <w:szCs w:val="24"/>
                  <w:lang w:val="en-US"/>
                </w:rPr>
              </w:pPr>
              <w:hyperlink w:anchor="_Toc11828355" w:history="1">
                <w:r w:rsidR="00A05195" w:rsidRPr="0005262C">
                  <w:rPr>
                    <w:rStyle w:val="Hyperlink"/>
                    <w:rFonts w:ascii="Arial" w:hAnsi="Arial" w:cs="Arial"/>
                    <w:bCs/>
                    <w:noProof/>
                    <w:sz w:val="24"/>
                    <w:szCs w:val="24"/>
                  </w:rPr>
                  <w:t>3.2.1.</w:t>
                </w:r>
                <w:r w:rsidR="00A05195" w:rsidRPr="0005262C">
                  <w:rPr>
                    <w:rFonts w:ascii="Arial" w:eastAsiaTheme="minorEastAsia" w:hAnsi="Arial" w:cs="Arial"/>
                    <w:noProof/>
                    <w:sz w:val="24"/>
                    <w:szCs w:val="24"/>
                    <w:lang w:val="en-US"/>
                  </w:rPr>
                  <w:tab/>
                </w:r>
                <w:r w:rsidR="00A05195" w:rsidRPr="0005262C">
                  <w:rPr>
                    <w:rStyle w:val="Hyperlink"/>
                    <w:rFonts w:ascii="Arial" w:hAnsi="Arial" w:cs="Arial"/>
                    <w:noProof/>
                    <w:sz w:val="24"/>
                    <w:szCs w:val="24"/>
                  </w:rPr>
                  <w:t>Principle Place of Performance</w:t>
                </w:r>
                <w:r w:rsidR="00A05195" w:rsidRPr="0005262C">
                  <w:rPr>
                    <w:rFonts w:ascii="Arial" w:hAnsi="Arial" w:cs="Arial"/>
                    <w:noProof/>
                    <w:webHidden/>
                    <w:sz w:val="24"/>
                    <w:szCs w:val="24"/>
                  </w:rPr>
                  <w:tab/>
                </w:r>
                <w:r w:rsidR="00A05195" w:rsidRPr="0005262C">
                  <w:rPr>
                    <w:rFonts w:ascii="Arial" w:hAnsi="Arial" w:cs="Arial"/>
                    <w:noProof/>
                    <w:webHidden/>
                    <w:sz w:val="24"/>
                    <w:szCs w:val="24"/>
                  </w:rPr>
                  <w:fldChar w:fldCharType="begin"/>
                </w:r>
                <w:r w:rsidR="00A05195" w:rsidRPr="0005262C">
                  <w:rPr>
                    <w:rFonts w:ascii="Arial" w:hAnsi="Arial" w:cs="Arial"/>
                    <w:noProof/>
                    <w:webHidden/>
                    <w:sz w:val="24"/>
                    <w:szCs w:val="24"/>
                  </w:rPr>
                  <w:instrText xml:space="preserve"> PAGEREF _Toc11828355 \h </w:instrText>
                </w:r>
                <w:r w:rsidR="00A05195" w:rsidRPr="0005262C">
                  <w:rPr>
                    <w:rFonts w:ascii="Arial" w:hAnsi="Arial" w:cs="Arial"/>
                    <w:noProof/>
                    <w:webHidden/>
                    <w:sz w:val="24"/>
                    <w:szCs w:val="24"/>
                  </w:rPr>
                </w:r>
                <w:r w:rsidR="00A05195" w:rsidRPr="0005262C">
                  <w:rPr>
                    <w:rFonts w:ascii="Arial" w:hAnsi="Arial" w:cs="Arial"/>
                    <w:noProof/>
                    <w:webHidden/>
                    <w:sz w:val="24"/>
                    <w:szCs w:val="24"/>
                  </w:rPr>
                  <w:fldChar w:fldCharType="separate"/>
                </w:r>
                <w:r w:rsidR="00A05195" w:rsidRPr="0005262C">
                  <w:rPr>
                    <w:rFonts w:ascii="Arial" w:hAnsi="Arial" w:cs="Arial"/>
                    <w:noProof/>
                    <w:webHidden/>
                    <w:sz w:val="24"/>
                    <w:szCs w:val="24"/>
                  </w:rPr>
                  <w:t>4</w:t>
                </w:r>
                <w:r w:rsidR="00A05195" w:rsidRPr="0005262C">
                  <w:rPr>
                    <w:rFonts w:ascii="Arial" w:hAnsi="Arial" w:cs="Arial"/>
                    <w:noProof/>
                    <w:webHidden/>
                    <w:sz w:val="24"/>
                    <w:szCs w:val="24"/>
                  </w:rPr>
                  <w:fldChar w:fldCharType="end"/>
                </w:r>
              </w:hyperlink>
            </w:p>
            <w:p w14:paraId="40B2558F" w14:textId="5C16E0EA" w:rsidR="00A05195" w:rsidRPr="0005262C" w:rsidRDefault="00BF52AC">
              <w:pPr>
                <w:pStyle w:val="TOC3"/>
                <w:tabs>
                  <w:tab w:val="left" w:pos="1200"/>
                  <w:tab w:val="right" w:leader="dot" w:pos="9350"/>
                </w:tabs>
                <w:rPr>
                  <w:rFonts w:ascii="Arial" w:eastAsiaTheme="minorEastAsia" w:hAnsi="Arial" w:cs="Arial"/>
                  <w:noProof/>
                  <w:sz w:val="24"/>
                  <w:szCs w:val="24"/>
                  <w:lang w:val="en-US"/>
                </w:rPr>
              </w:pPr>
              <w:hyperlink w:anchor="_Toc11828356" w:history="1">
                <w:r w:rsidR="00A05195" w:rsidRPr="0005262C">
                  <w:rPr>
                    <w:rStyle w:val="Hyperlink"/>
                    <w:rFonts w:ascii="Arial" w:hAnsi="Arial" w:cs="Arial"/>
                    <w:bCs/>
                    <w:noProof/>
                    <w:sz w:val="24"/>
                    <w:szCs w:val="24"/>
                  </w:rPr>
                  <w:t>3.2.2.</w:t>
                </w:r>
                <w:r w:rsidR="00A05195" w:rsidRPr="0005262C">
                  <w:rPr>
                    <w:rFonts w:ascii="Arial" w:eastAsiaTheme="minorEastAsia" w:hAnsi="Arial" w:cs="Arial"/>
                    <w:noProof/>
                    <w:sz w:val="24"/>
                    <w:szCs w:val="24"/>
                    <w:lang w:val="en-US"/>
                  </w:rPr>
                  <w:tab/>
                </w:r>
                <w:r w:rsidR="00A05195" w:rsidRPr="0005262C">
                  <w:rPr>
                    <w:rStyle w:val="Hyperlink"/>
                    <w:rFonts w:ascii="Arial" w:hAnsi="Arial" w:cs="Arial"/>
                    <w:noProof/>
                    <w:sz w:val="24"/>
                    <w:szCs w:val="24"/>
                  </w:rPr>
                  <w:t>Government-Furnished Property and Data</w:t>
                </w:r>
                <w:r w:rsidR="00A05195" w:rsidRPr="0005262C">
                  <w:rPr>
                    <w:rFonts w:ascii="Arial" w:hAnsi="Arial" w:cs="Arial"/>
                    <w:noProof/>
                    <w:webHidden/>
                    <w:sz w:val="24"/>
                    <w:szCs w:val="24"/>
                  </w:rPr>
                  <w:tab/>
                </w:r>
                <w:r w:rsidR="00A05195" w:rsidRPr="0005262C">
                  <w:rPr>
                    <w:rFonts w:ascii="Arial" w:hAnsi="Arial" w:cs="Arial"/>
                    <w:noProof/>
                    <w:webHidden/>
                    <w:sz w:val="24"/>
                    <w:szCs w:val="24"/>
                  </w:rPr>
                  <w:fldChar w:fldCharType="begin"/>
                </w:r>
                <w:r w:rsidR="00A05195" w:rsidRPr="0005262C">
                  <w:rPr>
                    <w:rFonts w:ascii="Arial" w:hAnsi="Arial" w:cs="Arial"/>
                    <w:noProof/>
                    <w:webHidden/>
                    <w:sz w:val="24"/>
                    <w:szCs w:val="24"/>
                  </w:rPr>
                  <w:instrText xml:space="preserve"> PAGEREF _Toc11828356 \h </w:instrText>
                </w:r>
                <w:r w:rsidR="00A05195" w:rsidRPr="0005262C">
                  <w:rPr>
                    <w:rFonts w:ascii="Arial" w:hAnsi="Arial" w:cs="Arial"/>
                    <w:noProof/>
                    <w:webHidden/>
                    <w:sz w:val="24"/>
                    <w:szCs w:val="24"/>
                  </w:rPr>
                </w:r>
                <w:r w:rsidR="00A05195" w:rsidRPr="0005262C">
                  <w:rPr>
                    <w:rFonts w:ascii="Arial" w:hAnsi="Arial" w:cs="Arial"/>
                    <w:noProof/>
                    <w:webHidden/>
                    <w:sz w:val="24"/>
                    <w:szCs w:val="24"/>
                  </w:rPr>
                  <w:fldChar w:fldCharType="separate"/>
                </w:r>
                <w:r w:rsidR="00A05195" w:rsidRPr="0005262C">
                  <w:rPr>
                    <w:rFonts w:ascii="Arial" w:hAnsi="Arial" w:cs="Arial"/>
                    <w:noProof/>
                    <w:webHidden/>
                    <w:sz w:val="24"/>
                    <w:szCs w:val="24"/>
                  </w:rPr>
                  <w:t>4</w:t>
                </w:r>
                <w:r w:rsidR="00A05195" w:rsidRPr="0005262C">
                  <w:rPr>
                    <w:rFonts w:ascii="Arial" w:hAnsi="Arial" w:cs="Arial"/>
                    <w:noProof/>
                    <w:webHidden/>
                    <w:sz w:val="24"/>
                    <w:szCs w:val="24"/>
                  </w:rPr>
                  <w:fldChar w:fldCharType="end"/>
                </w:r>
              </w:hyperlink>
            </w:p>
            <w:p w14:paraId="14893634" w14:textId="5DF26010" w:rsidR="00A05195" w:rsidRPr="0005262C" w:rsidRDefault="00BF52AC">
              <w:pPr>
                <w:pStyle w:val="TOC3"/>
                <w:tabs>
                  <w:tab w:val="left" w:pos="1200"/>
                  <w:tab w:val="right" w:leader="dot" w:pos="9350"/>
                </w:tabs>
                <w:rPr>
                  <w:rFonts w:ascii="Arial" w:eastAsiaTheme="minorEastAsia" w:hAnsi="Arial" w:cs="Arial"/>
                  <w:noProof/>
                  <w:sz w:val="24"/>
                  <w:szCs w:val="24"/>
                  <w:lang w:val="en-US"/>
                </w:rPr>
              </w:pPr>
              <w:hyperlink w:anchor="_Toc11828357" w:history="1">
                <w:r w:rsidR="00A05195" w:rsidRPr="0005262C">
                  <w:rPr>
                    <w:rStyle w:val="Hyperlink"/>
                    <w:rFonts w:ascii="Arial" w:hAnsi="Arial" w:cs="Arial"/>
                    <w:bCs/>
                    <w:noProof/>
                    <w:sz w:val="24"/>
                    <w:szCs w:val="24"/>
                  </w:rPr>
                  <w:t>3.2.3.</w:t>
                </w:r>
                <w:r w:rsidR="00A05195" w:rsidRPr="0005262C">
                  <w:rPr>
                    <w:rFonts w:ascii="Arial" w:eastAsiaTheme="minorEastAsia" w:hAnsi="Arial" w:cs="Arial"/>
                    <w:noProof/>
                    <w:sz w:val="24"/>
                    <w:szCs w:val="24"/>
                    <w:lang w:val="en-US"/>
                  </w:rPr>
                  <w:tab/>
                </w:r>
                <w:r w:rsidR="00A05195" w:rsidRPr="0005262C">
                  <w:rPr>
                    <w:rStyle w:val="Hyperlink"/>
                    <w:rFonts w:ascii="Arial" w:hAnsi="Arial" w:cs="Arial"/>
                    <w:noProof/>
                    <w:sz w:val="24"/>
                    <w:szCs w:val="24"/>
                  </w:rPr>
                  <w:t>Telework and Flexi-place – Situational, Temporary or Permanent</w:t>
                </w:r>
                <w:r w:rsidR="00A05195" w:rsidRPr="0005262C">
                  <w:rPr>
                    <w:rFonts w:ascii="Arial" w:hAnsi="Arial" w:cs="Arial"/>
                    <w:noProof/>
                    <w:webHidden/>
                    <w:sz w:val="24"/>
                    <w:szCs w:val="24"/>
                  </w:rPr>
                  <w:tab/>
                </w:r>
                <w:r w:rsidR="00A05195" w:rsidRPr="0005262C">
                  <w:rPr>
                    <w:rFonts w:ascii="Arial" w:hAnsi="Arial" w:cs="Arial"/>
                    <w:noProof/>
                    <w:webHidden/>
                    <w:sz w:val="24"/>
                    <w:szCs w:val="24"/>
                  </w:rPr>
                  <w:fldChar w:fldCharType="begin"/>
                </w:r>
                <w:r w:rsidR="00A05195" w:rsidRPr="0005262C">
                  <w:rPr>
                    <w:rFonts w:ascii="Arial" w:hAnsi="Arial" w:cs="Arial"/>
                    <w:noProof/>
                    <w:webHidden/>
                    <w:sz w:val="24"/>
                    <w:szCs w:val="24"/>
                  </w:rPr>
                  <w:instrText xml:space="preserve"> PAGEREF _Toc11828357 \h </w:instrText>
                </w:r>
                <w:r w:rsidR="00A05195" w:rsidRPr="0005262C">
                  <w:rPr>
                    <w:rFonts w:ascii="Arial" w:hAnsi="Arial" w:cs="Arial"/>
                    <w:noProof/>
                    <w:webHidden/>
                    <w:sz w:val="24"/>
                    <w:szCs w:val="24"/>
                  </w:rPr>
                </w:r>
                <w:r w:rsidR="00A05195" w:rsidRPr="0005262C">
                  <w:rPr>
                    <w:rFonts w:ascii="Arial" w:hAnsi="Arial" w:cs="Arial"/>
                    <w:noProof/>
                    <w:webHidden/>
                    <w:sz w:val="24"/>
                    <w:szCs w:val="24"/>
                  </w:rPr>
                  <w:fldChar w:fldCharType="separate"/>
                </w:r>
                <w:r w:rsidR="00A05195" w:rsidRPr="0005262C">
                  <w:rPr>
                    <w:rFonts w:ascii="Arial" w:hAnsi="Arial" w:cs="Arial"/>
                    <w:noProof/>
                    <w:webHidden/>
                    <w:sz w:val="24"/>
                    <w:szCs w:val="24"/>
                  </w:rPr>
                  <w:t>4</w:t>
                </w:r>
                <w:r w:rsidR="00A05195" w:rsidRPr="0005262C">
                  <w:rPr>
                    <w:rFonts w:ascii="Arial" w:hAnsi="Arial" w:cs="Arial"/>
                    <w:noProof/>
                    <w:webHidden/>
                    <w:sz w:val="24"/>
                    <w:szCs w:val="24"/>
                  </w:rPr>
                  <w:fldChar w:fldCharType="end"/>
                </w:r>
              </w:hyperlink>
            </w:p>
            <w:p w14:paraId="6EF127E7" w14:textId="40F2ADC5" w:rsidR="00A05195" w:rsidRPr="0005262C" w:rsidRDefault="00BF52AC">
              <w:pPr>
                <w:pStyle w:val="TOC3"/>
                <w:tabs>
                  <w:tab w:val="left" w:pos="1200"/>
                  <w:tab w:val="right" w:leader="dot" w:pos="9350"/>
                </w:tabs>
                <w:rPr>
                  <w:rFonts w:ascii="Arial" w:eastAsiaTheme="minorEastAsia" w:hAnsi="Arial" w:cs="Arial"/>
                  <w:noProof/>
                  <w:sz w:val="24"/>
                  <w:szCs w:val="24"/>
                  <w:lang w:val="en-US"/>
                </w:rPr>
              </w:pPr>
              <w:hyperlink w:anchor="_Toc11828358" w:history="1">
                <w:r w:rsidR="00A05195" w:rsidRPr="0005262C">
                  <w:rPr>
                    <w:rStyle w:val="Hyperlink"/>
                    <w:rFonts w:ascii="Arial" w:hAnsi="Arial" w:cs="Arial"/>
                    <w:bCs/>
                    <w:noProof/>
                    <w:sz w:val="24"/>
                    <w:szCs w:val="24"/>
                  </w:rPr>
                  <w:t>3.2.4.</w:t>
                </w:r>
                <w:r w:rsidR="00A05195" w:rsidRPr="0005262C">
                  <w:rPr>
                    <w:rFonts w:ascii="Arial" w:eastAsiaTheme="minorEastAsia" w:hAnsi="Arial" w:cs="Arial"/>
                    <w:noProof/>
                    <w:sz w:val="24"/>
                    <w:szCs w:val="24"/>
                    <w:lang w:val="en-US"/>
                  </w:rPr>
                  <w:tab/>
                </w:r>
                <w:r w:rsidR="00A05195" w:rsidRPr="0005262C">
                  <w:rPr>
                    <w:rStyle w:val="Hyperlink"/>
                    <w:rFonts w:ascii="Arial" w:hAnsi="Arial" w:cs="Arial"/>
                    <w:noProof/>
                    <w:sz w:val="24"/>
                    <w:szCs w:val="24"/>
                  </w:rPr>
                  <w:t>Teleworking During a Government Closure</w:t>
                </w:r>
                <w:r w:rsidR="00A05195" w:rsidRPr="0005262C">
                  <w:rPr>
                    <w:rFonts w:ascii="Arial" w:hAnsi="Arial" w:cs="Arial"/>
                    <w:noProof/>
                    <w:webHidden/>
                    <w:sz w:val="24"/>
                    <w:szCs w:val="24"/>
                  </w:rPr>
                  <w:tab/>
                </w:r>
                <w:r w:rsidR="00A05195" w:rsidRPr="0005262C">
                  <w:rPr>
                    <w:rFonts w:ascii="Arial" w:hAnsi="Arial" w:cs="Arial"/>
                    <w:noProof/>
                    <w:webHidden/>
                    <w:sz w:val="24"/>
                    <w:szCs w:val="24"/>
                  </w:rPr>
                  <w:fldChar w:fldCharType="begin"/>
                </w:r>
                <w:r w:rsidR="00A05195" w:rsidRPr="0005262C">
                  <w:rPr>
                    <w:rFonts w:ascii="Arial" w:hAnsi="Arial" w:cs="Arial"/>
                    <w:noProof/>
                    <w:webHidden/>
                    <w:sz w:val="24"/>
                    <w:szCs w:val="24"/>
                  </w:rPr>
                  <w:instrText xml:space="preserve"> PAGEREF _Toc11828358 \h </w:instrText>
                </w:r>
                <w:r w:rsidR="00A05195" w:rsidRPr="0005262C">
                  <w:rPr>
                    <w:rFonts w:ascii="Arial" w:hAnsi="Arial" w:cs="Arial"/>
                    <w:noProof/>
                    <w:webHidden/>
                    <w:sz w:val="24"/>
                    <w:szCs w:val="24"/>
                  </w:rPr>
                </w:r>
                <w:r w:rsidR="00A05195" w:rsidRPr="0005262C">
                  <w:rPr>
                    <w:rFonts w:ascii="Arial" w:hAnsi="Arial" w:cs="Arial"/>
                    <w:noProof/>
                    <w:webHidden/>
                    <w:sz w:val="24"/>
                    <w:szCs w:val="24"/>
                  </w:rPr>
                  <w:fldChar w:fldCharType="separate"/>
                </w:r>
                <w:r w:rsidR="00A05195" w:rsidRPr="0005262C">
                  <w:rPr>
                    <w:rFonts w:ascii="Arial" w:hAnsi="Arial" w:cs="Arial"/>
                    <w:noProof/>
                    <w:webHidden/>
                    <w:sz w:val="24"/>
                    <w:szCs w:val="24"/>
                  </w:rPr>
                  <w:t>5</w:t>
                </w:r>
                <w:r w:rsidR="00A05195" w:rsidRPr="0005262C">
                  <w:rPr>
                    <w:rFonts w:ascii="Arial" w:hAnsi="Arial" w:cs="Arial"/>
                    <w:noProof/>
                    <w:webHidden/>
                    <w:sz w:val="24"/>
                    <w:szCs w:val="24"/>
                  </w:rPr>
                  <w:fldChar w:fldCharType="end"/>
                </w:r>
              </w:hyperlink>
            </w:p>
            <w:p w14:paraId="3494BFE8" w14:textId="35D8F6E3" w:rsidR="00A05195" w:rsidRPr="0005262C" w:rsidRDefault="00BF52AC">
              <w:pPr>
                <w:pStyle w:val="TOC3"/>
                <w:tabs>
                  <w:tab w:val="left" w:pos="1200"/>
                  <w:tab w:val="right" w:leader="dot" w:pos="9350"/>
                </w:tabs>
                <w:rPr>
                  <w:rFonts w:ascii="Arial" w:eastAsiaTheme="minorEastAsia" w:hAnsi="Arial" w:cs="Arial"/>
                  <w:noProof/>
                  <w:sz w:val="24"/>
                  <w:szCs w:val="24"/>
                  <w:lang w:val="en-US"/>
                </w:rPr>
              </w:pPr>
              <w:hyperlink w:anchor="_Toc11828359" w:history="1">
                <w:r w:rsidR="00A05195" w:rsidRPr="0005262C">
                  <w:rPr>
                    <w:rStyle w:val="Hyperlink"/>
                    <w:rFonts w:ascii="Arial" w:hAnsi="Arial" w:cs="Arial"/>
                    <w:bCs/>
                    <w:noProof/>
                    <w:sz w:val="24"/>
                    <w:szCs w:val="24"/>
                  </w:rPr>
                  <w:t>3.2.5.</w:t>
                </w:r>
                <w:r w:rsidR="00A05195" w:rsidRPr="0005262C">
                  <w:rPr>
                    <w:rFonts w:ascii="Arial" w:eastAsiaTheme="minorEastAsia" w:hAnsi="Arial" w:cs="Arial"/>
                    <w:noProof/>
                    <w:sz w:val="24"/>
                    <w:szCs w:val="24"/>
                    <w:lang w:val="en-US"/>
                  </w:rPr>
                  <w:tab/>
                </w:r>
                <w:r w:rsidR="00A05195" w:rsidRPr="0005262C">
                  <w:rPr>
                    <w:rStyle w:val="Hyperlink"/>
                    <w:rFonts w:ascii="Arial" w:hAnsi="Arial" w:cs="Arial"/>
                    <w:noProof/>
                    <w:sz w:val="24"/>
                    <w:szCs w:val="24"/>
                  </w:rPr>
                  <w:t>Continuity of Operations During a Government Closure</w:t>
                </w:r>
                <w:r w:rsidR="00A05195" w:rsidRPr="0005262C">
                  <w:rPr>
                    <w:rFonts w:ascii="Arial" w:hAnsi="Arial" w:cs="Arial"/>
                    <w:noProof/>
                    <w:webHidden/>
                    <w:sz w:val="24"/>
                    <w:szCs w:val="24"/>
                  </w:rPr>
                  <w:tab/>
                </w:r>
                <w:r w:rsidR="00A05195" w:rsidRPr="0005262C">
                  <w:rPr>
                    <w:rFonts w:ascii="Arial" w:hAnsi="Arial" w:cs="Arial"/>
                    <w:noProof/>
                    <w:webHidden/>
                    <w:sz w:val="24"/>
                    <w:szCs w:val="24"/>
                  </w:rPr>
                  <w:fldChar w:fldCharType="begin"/>
                </w:r>
                <w:r w:rsidR="00A05195" w:rsidRPr="0005262C">
                  <w:rPr>
                    <w:rFonts w:ascii="Arial" w:hAnsi="Arial" w:cs="Arial"/>
                    <w:noProof/>
                    <w:webHidden/>
                    <w:sz w:val="24"/>
                    <w:szCs w:val="24"/>
                  </w:rPr>
                  <w:instrText xml:space="preserve"> PAGEREF _Toc11828359 \h </w:instrText>
                </w:r>
                <w:r w:rsidR="00A05195" w:rsidRPr="0005262C">
                  <w:rPr>
                    <w:rFonts w:ascii="Arial" w:hAnsi="Arial" w:cs="Arial"/>
                    <w:noProof/>
                    <w:webHidden/>
                    <w:sz w:val="24"/>
                    <w:szCs w:val="24"/>
                  </w:rPr>
                </w:r>
                <w:r w:rsidR="00A05195" w:rsidRPr="0005262C">
                  <w:rPr>
                    <w:rFonts w:ascii="Arial" w:hAnsi="Arial" w:cs="Arial"/>
                    <w:noProof/>
                    <w:webHidden/>
                    <w:sz w:val="24"/>
                    <w:szCs w:val="24"/>
                  </w:rPr>
                  <w:fldChar w:fldCharType="separate"/>
                </w:r>
                <w:r w:rsidR="00A05195" w:rsidRPr="0005262C">
                  <w:rPr>
                    <w:rFonts w:ascii="Arial" w:hAnsi="Arial" w:cs="Arial"/>
                    <w:noProof/>
                    <w:webHidden/>
                    <w:sz w:val="24"/>
                    <w:szCs w:val="24"/>
                  </w:rPr>
                  <w:t>6</w:t>
                </w:r>
                <w:r w:rsidR="00A05195" w:rsidRPr="0005262C">
                  <w:rPr>
                    <w:rFonts w:ascii="Arial" w:hAnsi="Arial" w:cs="Arial"/>
                    <w:noProof/>
                    <w:webHidden/>
                    <w:sz w:val="24"/>
                    <w:szCs w:val="24"/>
                  </w:rPr>
                  <w:fldChar w:fldCharType="end"/>
                </w:r>
              </w:hyperlink>
            </w:p>
            <w:p w14:paraId="4992EBD7" w14:textId="0B18A7A4" w:rsidR="00A05195" w:rsidRPr="0005262C" w:rsidRDefault="00BF52AC">
              <w:pPr>
                <w:pStyle w:val="TOC3"/>
                <w:tabs>
                  <w:tab w:val="left" w:pos="1200"/>
                  <w:tab w:val="right" w:leader="dot" w:pos="9350"/>
                </w:tabs>
                <w:rPr>
                  <w:rFonts w:ascii="Arial" w:eastAsiaTheme="minorEastAsia" w:hAnsi="Arial" w:cs="Arial"/>
                  <w:noProof/>
                  <w:sz w:val="24"/>
                  <w:szCs w:val="24"/>
                  <w:lang w:val="en-US"/>
                </w:rPr>
              </w:pPr>
              <w:hyperlink w:anchor="_Toc11828360" w:history="1">
                <w:r w:rsidR="00A05195" w:rsidRPr="0005262C">
                  <w:rPr>
                    <w:rStyle w:val="Hyperlink"/>
                    <w:rFonts w:ascii="Arial" w:hAnsi="Arial" w:cs="Arial"/>
                    <w:bCs/>
                    <w:noProof/>
                    <w:sz w:val="24"/>
                    <w:szCs w:val="24"/>
                  </w:rPr>
                  <w:t>3.2.6.</w:t>
                </w:r>
                <w:r w:rsidR="00A05195" w:rsidRPr="0005262C">
                  <w:rPr>
                    <w:rFonts w:ascii="Arial" w:eastAsiaTheme="minorEastAsia" w:hAnsi="Arial" w:cs="Arial"/>
                    <w:noProof/>
                    <w:sz w:val="24"/>
                    <w:szCs w:val="24"/>
                    <w:lang w:val="en-US"/>
                  </w:rPr>
                  <w:tab/>
                </w:r>
                <w:r w:rsidR="00A05195" w:rsidRPr="0005262C">
                  <w:rPr>
                    <w:rStyle w:val="Hyperlink"/>
                    <w:rFonts w:ascii="Arial" w:hAnsi="Arial" w:cs="Arial"/>
                    <w:noProof/>
                    <w:sz w:val="24"/>
                    <w:szCs w:val="24"/>
                  </w:rPr>
                  <w:t>Security Clearances</w:t>
                </w:r>
                <w:r w:rsidR="00A05195" w:rsidRPr="0005262C">
                  <w:rPr>
                    <w:rFonts w:ascii="Arial" w:hAnsi="Arial" w:cs="Arial"/>
                    <w:noProof/>
                    <w:webHidden/>
                    <w:sz w:val="24"/>
                    <w:szCs w:val="24"/>
                  </w:rPr>
                  <w:tab/>
                </w:r>
                <w:r w:rsidR="00A05195" w:rsidRPr="0005262C">
                  <w:rPr>
                    <w:rFonts w:ascii="Arial" w:hAnsi="Arial" w:cs="Arial"/>
                    <w:noProof/>
                    <w:webHidden/>
                    <w:sz w:val="24"/>
                    <w:szCs w:val="24"/>
                  </w:rPr>
                  <w:fldChar w:fldCharType="begin"/>
                </w:r>
                <w:r w:rsidR="00A05195" w:rsidRPr="0005262C">
                  <w:rPr>
                    <w:rFonts w:ascii="Arial" w:hAnsi="Arial" w:cs="Arial"/>
                    <w:noProof/>
                    <w:webHidden/>
                    <w:sz w:val="24"/>
                    <w:szCs w:val="24"/>
                  </w:rPr>
                  <w:instrText xml:space="preserve"> PAGEREF _Toc11828360 \h </w:instrText>
                </w:r>
                <w:r w:rsidR="00A05195" w:rsidRPr="0005262C">
                  <w:rPr>
                    <w:rFonts w:ascii="Arial" w:hAnsi="Arial" w:cs="Arial"/>
                    <w:noProof/>
                    <w:webHidden/>
                    <w:sz w:val="24"/>
                    <w:szCs w:val="24"/>
                  </w:rPr>
                </w:r>
                <w:r w:rsidR="00A05195" w:rsidRPr="0005262C">
                  <w:rPr>
                    <w:rFonts w:ascii="Arial" w:hAnsi="Arial" w:cs="Arial"/>
                    <w:noProof/>
                    <w:webHidden/>
                    <w:sz w:val="24"/>
                    <w:szCs w:val="24"/>
                  </w:rPr>
                  <w:fldChar w:fldCharType="separate"/>
                </w:r>
                <w:r w:rsidR="00A05195" w:rsidRPr="0005262C">
                  <w:rPr>
                    <w:rFonts w:ascii="Arial" w:hAnsi="Arial" w:cs="Arial"/>
                    <w:noProof/>
                    <w:webHidden/>
                    <w:sz w:val="24"/>
                    <w:szCs w:val="24"/>
                  </w:rPr>
                  <w:t>6</w:t>
                </w:r>
                <w:r w:rsidR="00A05195" w:rsidRPr="0005262C">
                  <w:rPr>
                    <w:rFonts w:ascii="Arial" w:hAnsi="Arial" w:cs="Arial"/>
                    <w:noProof/>
                    <w:webHidden/>
                    <w:sz w:val="24"/>
                    <w:szCs w:val="24"/>
                  </w:rPr>
                  <w:fldChar w:fldCharType="end"/>
                </w:r>
              </w:hyperlink>
            </w:p>
            <w:p w14:paraId="246E78AA" w14:textId="0BE4E5F2" w:rsidR="00A05195" w:rsidRPr="0005262C" w:rsidRDefault="00BF52AC">
              <w:pPr>
                <w:pStyle w:val="TOC3"/>
                <w:tabs>
                  <w:tab w:val="left" w:pos="1200"/>
                  <w:tab w:val="right" w:leader="dot" w:pos="9350"/>
                </w:tabs>
                <w:rPr>
                  <w:rFonts w:ascii="Arial" w:eastAsiaTheme="minorEastAsia" w:hAnsi="Arial" w:cs="Arial"/>
                  <w:noProof/>
                  <w:sz w:val="24"/>
                  <w:szCs w:val="24"/>
                  <w:lang w:val="en-US"/>
                </w:rPr>
              </w:pPr>
              <w:hyperlink w:anchor="_Toc11828361" w:history="1">
                <w:r w:rsidR="00A05195" w:rsidRPr="0005262C">
                  <w:rPr>
                    <w:rStyle w:val="Hyperlink"/>
                    <w:rFonts w:ascii="Arial" w:hAnsi="Arial" w:cs="Arial"/>
                    <w:bCs/>
                    <w:noProof/>
                    <w:sz w:val="24"/>
                    <w:szCs w:val="24"/>
                  </w:rPr>
                  <w:t>3.2.7.</w:t>
                </w:r>
                <w:r w:rsidR="00A05195" w:rsidRPr="0005262C">
                  <w:rPr>
                    <w:rFonts w:ascii="Arial" w:eastAsiaTheme="minorEastAsia" w:hAnsi="Arial" w:cs="Arial"/>
                    <w:noProof/>
                    <w:sz w:val="24"/>
                    <w:szCs w:val="24"/>
                    <w:lang w:val="en-US"/>
                  </w:rPr>
                  <w:tab/>
                </w:r>
                <w:r w:rsidR="00A05195" w:rsidRPr="0005262C">
                  <w:rPr>
                    <w:rStyle w:val="Hyperlink"/>
                    <w:rFonts w:ascii="Arial" w:hAnsi="Arial" w:cs="Arial"/>
                    <w:noProof/>
                    <w:sz w:val="24"/>
                    <w:szCs w:val="24"/>
                  </w:rPr>
                  <w:t>Segregation of Duties</w:t>
                </w:r>
                <w:r w:rsidR="00A05195" w:rsidRPr="0005262C">
                  <w:rPr>
                    <w:rFonts w:ascii="Arial" w:hAnsi="Arial" w:cs="Arial"/>
                    <w:noProof/>
                    <w:webHidden/>
                    <w:sz w:val="24"/>
                    <w:szCs w:val="24"/>
                  </w:rPr>
                  <w:tab/>
                </w:r>
                <w:r w:rsidR="00A05195" w:rsidRPr="0005262C">
                  <w:rPr>
                    <w:rFonts w:ascii="Arial" w:hAnsi="Arial" w:cs="Arial"/>
                    <w:noProof/>
                    <w:webHidden/>
                    <w:sz w:val="24"/>
                    <w:szCs w:val="24"/>
                  </w:rPr>
                  <w:fldChar w:fldCharType="begin"/>
                </w:r>
                <w:r w:rsidR="00A05195" w:rsidRPr="0005262C">
                  <w:rPr>
                    <w:rFonts w:ascii="Arial" w:hAnsi="Arial" w:cs="Arial"/>
                    <w:noProof/>
                    <w:webHidden/>
                    <w:sz w:val="24"/>
                    <w:szCs w:val="24"/>
                  </w:rPr>
                  <w:instrText xml:space="preserve"> PAGEREF _Toc11828361 \h </w:instrText>
                </w:r>
                <w:r w:rsidR="00A05195" w:rsidRPr="0005262C">
                  <w:rPr>
                    <w:rFonts w:ascii="Arial" w:hAnsi="Arial" w:cs="Arial"/>
                    <w:noProof/>
                    <w:webHidden/>
                    <w:sz w:val="24"/>
                    <w:szCs w:val="24"/>
                  </w:rPr>
                </w:r>
                <w:r w:rsidR="00A05195" w:rsidRPr="0005262C">
                  <w:rPr>
                    <w:rFonts w:ascii="Arial" w:hAnsi="Arial" w:cs="Arial"/>
                    <w:noProof/>
                    <w:webHidden/>
                    <w:sz w:val="24"/>
                    <w:szCs w:val="24"/>
                  </w:rPr>
                  <w:fldChar w:fldCharType="separate"/>
                </w:r>
                <w:r w:rsidR="00A05195" w:rsidRPr="0005262C">
                  <w:rPr>
                    <w:rFonts w:ascii="Arial" w:hAnsi="Arial" w:cs="Arial"/>
                    <w:noProof/>
                    <w:webHidden/>
                    <w:sz w:val="24"/>
                    <w:szCs w:val="24"/>
                  </w:rPr>
                  <w:t>6</w:t>
                </w:r>
                <w:r w:rsidR="00A05195" w:rsidRPr="0005262C">
                  <w:rPr>
                    <w:rFonts w:ascii="Arial" w:hAnsi="Arial" w:cs="Arial"/>
                    <w:noProof/>
                    <w:webHidden/>
                    <w:sz w:val="24"/>
                    <w:szCs w:val="24"/>
                  </w:rPr>
                  <w:fldChar w:fldCharType="end"/>
                </w:r>
              </w:hyperlink>
            </w:p>
            <w:p w14:paraId="3D17D844" w14:textId="2D3D68F1" w:rsidR="00A05195" w:rsidRPr="0005262C" w:rsidRDefault="00BF52AC">
              <w:pPr>
                <w:pStyle w:val="TOC3"/>
                <w:tabs>
                  <w:tab w:val="left" w:pos="1200"/>
                  <w:tab w:val="right" w:leader="dot" w:pos="9350"/>
                </w:tabs>
                <w:rPr>
                  <w:rFonts w:ascii="Arial" w:eastAsiaTheme="minorEastAsia" w:hAnsi="Arial" w:cs="Arial"/>
                  <w:noProof/>
                  <w:sz w:val="24"/>
                  <w:szCs w:val="24"/>
                  <w:lang w:val="en-US"/>
                </w:rPr>
              </w:pPr>
              <w:hyperlink w:anchor="_Toc11828362" w:history="1">
                <w:r w:rsidR="00A05195" w:rsidRPr="0005262C">
                  <w:rPr>
                    <w:rStyle w:val="Hyperlink"/>
                    <w:rFonts w:ascii="Arial" w:hAnsi="Arial" w:cs="Arial"/>
                    <w:noProof/>
                    <w:sz w:val="24"/>
                    <w:szCs w:val="24"/>
                  </w:rPr>
                  <w:t xml:space="preserve">3.2.8 </w:t>
                </w:r>
                <w:r w:rsidR="00A05195" w:rsidRPr="0005262C">
                  <w:rPr>
                    <w:rFonts w:ascii="Arial" w:eastAsiaTheme="minorEastAsia" w:hAnsi="Arial" w:cs="Arial"/>
                    <w:noProof/>
                    <w:sz w:val="24"/>
                    <w:szCs w:val="24"/>
                    <w:lang w:val="en-US"/>
                  </w:rPr>
                  <w:tab/>
                </w:r>
                <w:r w:rsidR="00A05195" w:rsidRPr="0005262C">
                  <w:rPr>
                    <w:rStyle w:val="Hyperlink"/>
                    <w:rFonts w:ascii="Arial" w:hAnsi="Arial" w:cs="Arial"/>
                    <w:noProof/>
                    <w:sz w:val="24"/>
                    <w:szCs w:val="24"/>
                  </w:rPr>
                  <w:t>Contract Type</w:t>
                </w:r>
                <w:r w:rsidR="00A05195" w:rsidRPr="0005262C">
                  <w:rPr>
                    <w:rFonts w:ascii="Arial" w:hAnsi="Arial" w:cs="Arial"/>
                    <w:noProof/>
                    <w:webHidden/>
                    <w:sz w:val="24"/>
                    <w:szCs w:val="24"/>
                  </w:rPr>
                  <w:tab/>
                </w:r>
                <w:r w:rsidR="00A05195" w:rsidRPr="0005262C">
                  <w:rPr>
                    <w:rFonts w:ascii="Arial" w:hAnsi="Arial" w:cs="Arial"/>
                    <w:noProof/>
                    <w:webHidden/>
                    <w:sz w:val="24"/>
                    <w:szCs w:val="24"/>
                  </w:rPr>
                  <w:fldChar w:fldCharType="begin"/>
                </w:r>
                <w:r w:rsidR="00A05195" w:rsidRPr="0005262C">
                  <w:rPr>
                    <w:rFonts w:ascii="Arial" w:hAnsi="Arial" w:cs="Arial"/>
                    <w:noProof/>
                    <w:webHidden/>
                    <w:sz w:val="24"/>
                    <w:szCs w:val="24"/>
                  </w:rPr>
                  <w:instrText xml:space="preserve"> PAGEREF _Toc11828362 \h </w:instrText>
                </w:r>
                <w:r w:rsidR="00A05195" w:rsidRPr="0005262C">
                  <w:rPr>
                    <w:rFonts w:ascii="Arial" w:hAnsi="Arial" w:cs="Arial"/>
                    <w:noProof/>
                    <w:webHidden/>
                    <w:sz w:val="24"/>
                    <w:szCs w:val="24"/>
                  </w:rPr>
                </w:r>
                <w:r w:rsidR="00A05195" w:rsidRPr="0005262C">
                  <w:rPr>
                    <w:rFonts w:ascii="Arial" w:hAnsi="Arial" w:cs="Arial"/>
                    <w:noProof/>
                    <w:webHidden/>
                    <w:sz w:val="24"/>
                    <w:szCs w:val="24"/>
                  </w:rPr>
                  <w:fldChar w:fldCharType="separate"/>
                </w:r>
                <w:r w:rsidR="00A05195" w:rsidRPr="0005262C">
                  <w:rPr>
                    <w:rFonts w:ascii="Arial" w:hAnsi="Arial" w:cs="Arial"/>
                    <w:noProof/>
                    <w:webHidden/>
                    <w:sz w:val="24"/>
                    <w:szCs w:val="24"/>
                  </w:rPr>
                  <w:t>6</w:t>
                </w:r>
                <w:r w:rsidR="00A05195" w:rsidRPr="0005262C">
                  <w:rPr>
                    <w:rFonts w:ascii="Arial" w:hAnsi="Arial" w:cs="Arial"/>
                    <w:noProof/>
                    <w:webHidden/>
                    <w:sz w:val="24"/>
                    <w:szCs w:val="24"/>
                  </w:rPr>
                  <w:fldChar w:fldCharType="end"/>
                </w:r>
              </w:hyperlink>
            </w:p>
            <w:p w14:paraId="56D07F9E" w14:textId="6181F6A0" w:rsidR="00A05195" w:rsidRPr="0005262C" w:rsidRDefault="00BF52AC">
              <w:pPr>
                <w:pStyle w:val="TOC1"/>
                <w:tabs>
                  <w:tab w:val="left" w:pos="480"/>
                  <w:tab w:val="right" w:leader="dot" w:pos="9350"/>
                </w:tabs>
                <w:rPr>
                  <w:rFonts w:ascii="Arial" w:eastAsiaTheme="minorEastAsia" w:hAnsi="Arial" w:cs="Arial"/>
                  <w:b w:val="0"/>
                  <w:bCs w:val="0"/>
                  <w:i w:val="0"/>
                  <w:iCs w:val="0"/>
                  <w:noProof/>
                  <w:lang w:val="en-US"/>
                </w:rPr>
              </w:pPr>
              <w:hyperlink w:anchor="_Toc11828363" w:history="1">
                <w:r w:rsidR="00A05195" w:rsidRPr="0005262C">
                  <w:rPr>
                    <w:rStyle w:val="Hyperlink"/>
                    <w:rFonts w:ascii="Arial" w:eastAsia="Calibri" w:hAnsi="Arial" w:cs="Arial"/>
                    <w:noProof/>
                  </w:rPr>
                  <w:t>4.</w:t>
                </w:r>
                <w:r w:rsidR="00A05195" w:rsidRPr="0005262C">
                  <w:rPr>
                    <w:rFonts w:ascii="Arial" w:eastAsiaTheme="minorEastAsia" w:hAnsi="Arial" w:cs="Arial"/>
                    <w:b w:val="0"/>
                    <w:bCs w:val="0"/>
                    <w:i w:val="0"/>
                    <w:iCs w:val="0"/>
                    <w:noProof/>
                    <w:lang w:val="en-US"/>
                  </w:rPr>
                  <w:tab/>
                </w:r>
                <w:r w:rsidR="00A05195" w:rsidRPr="0005262C">
                  <w:rPr>
                    <w:rStyle w:val="Hyperlink"/>
                    <w:rFonts w:ascii="Arial" w:hAnsi="Arial" w:cs="Arial"/>
                    <w:noProof/>
                  </w:rPr>
                  <w:t>CYBER SECURITY SUPPORT SERVICES</w:t>
                </w:r>
                <w:r w:rsidR="00A05195" w:rsidRPr="0005262C">
                  <w:rPr>
                    <w:rFonts w:ascii="Arial" w:hAnsi="Arial" w:cs="Arial"/>
                    <w:noProof/>
                    <w:webHidden/>
                  </w:rPr>
                  <w:tab/>
                </w:r>
                <w:r w:rsidR="00A05195" w:rsidRPr="0005262C">
                  <w:rPr>
                    <w:rFonts w:ascii="Arial" w:hAnsi="Arial" w:cs="Arial"/>
                    <w:noProof/>
                    <w:webHidden/>
                  </w:rPr>
                  <w:fldChar w:fldCharType="begin"/>
                </w:r>
                <w:r w:rsidR="00A05195" w:rsidRPr="0005262C">
                  <w:rPr>
                    <w:rFonts w:ascii="Arial" w:hAnsi="Arial" w:cs="Arial"/>
                    <w:noProof/>
                    <w:webHidden/>
                  </w:rPr>
                  <w:instrText xml:space="preserve"> PAGEREF _Toc11828363 \h </w:instrText>
                </w:r>
                <w:r w:rsidR="00A05195" w:rsidRPr="0005262C">
                  <w:rPr>
                    <w:rFonts w:ascii="Arial" w:hAnsi="Arial" w:cs="Arial"/>
                    <w:noProof/>
                    <w:webHidden/>
                  </w:rPr>
                </w:r>
                <w:r w:rsidR="00A05195" w:rsidRPr="0005262C">
                  <w:rPr>
                    <w:rFonts w:ascii="Arial" w:hAnsi="Arial" w:cs="Arial"/>
                    <w:noProof/>
                    <w:webHidden/>
                  </w:rPr>
                  <w:fldChar w:fldCharType="separate"/>
                </w:r>
                <w:r w:rsidR="00A05195" w:rsidRPr="0005262C">
                  <w:rPr>
                    <w:rFonts w:ascii="Arial" w:hAnsi="Arial" w:cs="Arial"/>
                    <w:noProof/>
                    <w:webHidden/>
                  </w:rPr>
                  <w:t>6</w:t>
                </w:r>
                <w:r w:rsidR="00A05195" w:rsidRPr="0005262C">
                  <w:rPr>
                    <w:rFonts w:ascii="Arial" w:hAnsi="Arial" w:cs="Arial"/>
                    <w:noProof/>
                    <w:webHidden/>
                  </w:rPr>
                  <w:fldChar w:fldCharType="end"/>
                </w:r>
              </w:hyperlink>
            </w:p>
            <w:p w14:paraId="17BCC537" w14:textId="6132C91A" w:rsidR="00A05195" w:rsidRPr="0005262C" w:rsidRDefault="00BF52AC">
              <w:pPr>
                <w:pStyle w:val="TOC2"/>
                <w:tabs>
                  <w:tab w:val="left" w:pos="960"/>
                  <w:tab w:val="right" w:leader="dot" w:pos="9350"/>
                </w:tabs>
                <w:rPr>
                  <w:rFonts w:ascii="Arial" w:eastAsiaTheme="minorEastAsia" w:hAnsi="Arial" w:cs="Arial"/>
                  <w:b w:val="0"/>
                  <w:bCs w:val="0"/>
                  <w:noProof/>
                  <w:sz w:val="24"/>
                  <w:szCs w:val="24"/>
                  <w:lang w:val="en-US"/>
                </w:rPr>
              </w:pPr>
              <w:hyperlink w:anchor="_Toc11828364" w:history="1">
                <w:r w:rsidR="00A05195" w:rsidRPr="0005262C">
                  <w:rPr>
                    <w:rStyle w:val="Hyperlink"/>
                    <w:rFonts w:ascii="Arial" w:eastAsia="Calibri" w:hAnsi="Arial" w:cs="Arial"/>
                    <w:noProof/>
                    <w:sz w:val="24"/>
                    <w:szCs w:val="24"/>
                  </w:rPr>
                  <w:t>4.1.</w:t>
                </w:r>
                <w:r w:rsidR="00A05195" w:rsidRPr="0005262C">
                  <w:rPr>
                    <w:rFonts w:ascii="Arial" w:eastAsiaTheme="minorEastAsia" w:hAnsi="Arial" w:cs="Arial"/>
                    <w:b w:val="0"/>
                    <w:bCs w:val="0"/>
                    <w:noProof/>
                    <w:sz w:val="24"/>
                    <w:szCs w:val="24"/>
                    <w:lang w:val="en-US"/>
                  </w:rPr>
                  <w:tab/>
                </w:r>
                <w:r w:rsidR="00A05195" w:rsidRPr="0005262C">
                  <w:rPr>
                    <w:rStyle w:val="Hyperlink"/>
                    <w:rFonts w:ascii="Arial" w:eastAsia="Calibri" w:hAnsi="Arial" w:cs="Arial"/>
                    <w:noProof/>
                    <w:sz w:val="24"/>
                    <w:szCs w:val="24"/>
                  </w:rPr>
                  <w:t>Deliverables</w:t>
                </w:r>
                <w:r w:rsidR="00A05195" w:rsidRPr="0005262C">
                  <w:rPr>
                    <w:rFonts w:ascii="Arial" w:hAnsi="Arial" w:cs="Arial"/>
                    <w:noProof/>
                    <w:webHidden/>
                    <w:sz w:val="24"/>
                    <w:szCs w:val="24"/>
                  </w:rPr>
                  <w:tab/>
                </w:r>
                <w:r w:rsidR="00A05195" w:rsidRPr="0005262C">
                  <w:rPr>
                    <w:rFonts w:ascii="Arial" w:hAnsi="Arial" w:cs="Arial"/>
                    <w:noProof/>
                    <w:webHidden/>
                    <w:sz w:val="24"/>
                    <w:szCs w:val="24"/>
                  </w:rPr>
                  <w:fldChar w:fldCharType="begin"/>
                </w:r>
                <w:r w:rsidR="00A05195" w:rsidRPr="0005262C">
                  <w:rPr>
                    <w:rFonts w:ascii="Arial" w:hAnsi="Arial" w:cs="Arial"/>
                    <w:noProof/>
                    <w:webHidden/>
                    <w:sz w:val="24"/>
                    <w:szCs w:val="24"/>
                  </w:rPr>
                  <w:instrText xml:space="preserve"> PAGEREF _Toc11828364 \h </w:instrText>
                </w:r>
                <w:r w:rsidR="00A05195" w:rsidRPr="0005262C">
                  <w:rPr>
                    <w:rFonts w:ascii="Arial" w:hAnsi="Arial" w:cs="Arial"/>
                    <w:noProof/>
                    <w:webHidden/>
                    <w:sz w:val="24"/>
                    <w:szCs w:val="24"/>
                  </w:rPr>
                </w:r>
                <w:r w:rsidR="00A05195" w:rsidRPr="0005262C">
                  <w:rPr>
                    <w:rFonts w:ascii="Arial" w:hAnsi="Arial" w:cs="Arial"/>
                    <w:noProof/>
                    <w:webHidden/>
                    <w:sz w:val="24"/>
                    <w:szCs w:val="24"/>
                  </w:rPr>
                  <w:fldChar w:fldCharType="separate"/>
                </w:r>
                <w:r w:rsidR="00A05195" w:rsidRPr="0005262C">
                  <w:rPr>
                    <w:rFonts w:ascii="Arial" w:hAnsi="Arial" w:cs="Arial"/>
                    <w:noProof/>
                    <w:webHidden/>
                    <w:sz w:val="24"/>
                    <w:szCs w:val="24"/>
                  </w:rPr>
                  <w:t>9</w:t>
                </w:r>
                <w:r w:rsidR="00A05195" w:rsidRPr="0005262C">
                  <w:rPr>
                    <w:rFonts w:ascii="Arial" w:hAnsi="Arial" w:cs="Arial"/>
                    <w:noProof/>
                    <w:webHidden/>
                    <w:sz w:val="24"/>
                    <w:szCs w:val="24"/>
                  </w:rPr>
                  <w:fldChar w:fldCharType="end"/>
                </w:r>
              </w:hyperlink>
            </w:p>
            <w:p w14:paraId="3FE68946" w14:textId="1FC5E212" w:rsidR="00A05195" w:rsidRPr="0005262C" w:rsidRDefault="00BF52AC">
              <w:pPr>
                <w:pStyle w:val="TOC1"/>
                <w:tabs>
                  <w:tab w:val="left" w:pos="480"/>
                  <w:tab w:val="right" w:leader="dot" w:pos="9350"/>
                </w:tabs>
                <w:rPr>
                  <w:rFonts w:ascii="Arial" w:eastAsiaTheme="minorEastAsia" w:hAnsi="Arial" w:cs="Arial"/>
                  <w:b w:val="0"/>
                  <w:bCs w:val="0"/>
                  <w:i w:val="0"/>
                  <w:iCs w:val="0"/>
                  <w:noProof/>
                  <w:lang w:val="en-US"/>
                </w:rPr>
              </w:pPr>
              <w:hyperlink w:anchor="_Toc11828365" w:history="1">
                <w:r w:rsidR="00A05195" w:rsidRPr="0005262C">
                  <w:rPr>
                    <w:rStyle w:val="Hyperlink"/>
                    <w:rFonts w:ascii="Arial" w:hAnsi="Arial" w:cs="Arial"/>
                    <w:noProof/>
                  </w:rPr>
                  <w:t>5.</w:t>
                </w:r>
                <w:r w:rsidR="00A05195" w:rsidRPr="0005262C">
                  <w:rPr>
                    <w:rFonts w:ascii="Arial" w:eastAsiaTheme="minorEastAsia" w:hAnsi="Arial" w:cs="Arial"/>
                    <w:b w:val="0"/>
                    <w:bCs w:val="0"/>
                    <w:i w:val="0"/>
                    <w:iCs w:val="0"/>
                    <w:noProof/>
                    <w:lang w:val="en-US"/>
                  </w:rPr>
                  <w:tab/>
                </w:r>
                <w:r w:rsidR="00A05195" w:rsidRPr="0005262C">
                  <w:rPr>
                    <w:rStyle w:val="Hyperlink"/>
                    <w:rFonts w:ascii="Arial" w:hAnsi="Arial" w:cs="Arial"/>
                    <w:noProof/>
                  </w:rPr>
                  <w:t>PERFORMANCE MEASURES/EXPECTATIONS</w:t>
                </w:r>
                <w:r w:rsidR="00A05195" w:rsidRPr="0005262C">
                  <w:rPr>
                    <w:rFonts w:ascii="Arial" w:hAnsi="Arial" w:cs="Arial"/>
                    <w:noProof/>
                    <w:webHidden/>
                  </w:rPr>
                  <w:tab/>
                </w:r>
                <w:r w:rsidR="00A05195" w:rsidRPr="0005262C">
                  <w:rPr>
                    <w:rFonts w:ascii="Arial" w:hAnsi="Arial" w:cs="Arial"/>
                    <w:noProof/>
                    <w:webHidden/>
                  </w:rPr>
                  <w:fldChar w:fldCharType="begin"/>
                </w:r>
                <w:r w:rsidR="00A05195" w:rsidRPr="0005262C">
                  <w:rPr>
                    <w:rFonts w:ascii="Arial" w:hAnsi="Arial" w:cs="Arial"/>
                    <w:noProof/>
                    <w:webHidden/>
                  </w:rPr>
                  <w:instrText xml:space="preserve"> PAGEREF _Toc11828365 \h </w:instrText>
                </w:r>
                <w:r w:rsidR="00A05195" w:rsidRPr="0005262C">
                  <w:rPr>
                    <w:rFonts w:ascii="Arial" w:hAnsi="Arial" w:cs="Arial"/>
                    <w:noProof/>
                    <w:webHidden/>
                  </w:rPr>
                </w:r>
                <w:r w:rsidR="00A05195" w:rsidRPr="0005262C">
                  <w:rPr>
                    <w:rFonts w:ascii="Arial" w:hAnsi="Arial" w:cs="Arial"/>
                    <w:noProof/>
                    <w:webHidden/>
                  </w:rPr>
                  <w:fldChar w:fldCharType="separate"/>
                </w:r>
                <w:r w:rsidR="00A05195" w:rsidRPr="0005262C">
                  <w:rPr>
                    <w:rFonts w:ascii="Arial" w:hAnsi="Arial" w:cs="Arial"/>
                    <w:noProof/>
                    <w:webHidden/>
                  </w:rPr>
                  <w:t>10</w:t>
                </w:r>
                <w:r w:rsidR="00A05195" w:rsidRPr="0005262C">
                  <w:rPr>
                    <w:rFonts w:ascii="Arial" w:hAnsi="Arial" w:cs="Arial"/>
                    <w:noProof/>
                    <w:webHidden/>
                  </w:rPr>
                  <w:fldChar w:fldCharType="end"/>
                </w:r>
              </w:hyperlink>
            </w:p>
            <w:p w14:paraId="07A63718" w14:textId="79E3C33A" w:rsidR="00F06CCA" w:rsidRPr="00F06CCA" w:rsidRDefault="00F06CCA" w:rsidP="00F06CCA">
              <w:r w:rsidRPr="0005262C">
                <w:rPr>
                  <w:rFonts w:cs="Arial"/>
                  <w:b/>
                  <w:bCs/>
                  <w:noProof/>
                </w:rPr>
                <w:fldChar w:fldCharType="end"/>
              </w:r>
            </w:p>
          </w:sdtContent>
        </w:sdt>
      </w:sdtContent>
    </w:sdt>
    <w:p w14:paraId="0A98F88E" w14:textId="77777777" w:rsidR="00F06CCA" w:rsidRDefault="00F06CCA">
      <w:pPr>
        <w:spacing w:before="0" w:after="160" w:line="259" w:lineRule="auto"/>
      </w:pPr>
      <w:r>
        <w:br w:type="page"/>
      </w:r>
    </w:p>
    <w:p w14:paraId="040C2B58" w14:textId="77777777" w:rsidR="00362421" w:rsidRPr="00362421" w:rsidRDefault="00362421" w:rsidP="00362421">
      <w:pPr>
        <w:pStyle w:val="Title"/>
        <w:rPr>
          <w:rStyle w:val="TitleChar"/>
          <w:b/>
          <w:bCs/>
        </w:rPr>
      </w:pPr>
      <w:bookmarkStart w:id="3" w:name="_Toc11828347"/>
      <w:r w:rsidRPr="00362421">
        <w:rPr>
          <w:rStyle w:val="TitleChar"/>
          <w:b/>
          <w:bCs/>
        </w:rPr>
        <w:lastRenderedPageBreak/>
        <w:t>Performance Work Statement</w:t>
      </w:r>
      <w:r w:rsidRPr="00362421">
        <w:rPr>
          <w:rStyle w:val="TitleChar"/>
          <w:b/>
          <w:bCs/>
        </w:rPr>
        <w:br/>
        <w:t>Cyber-Security Support Services</w:t>
      </w:r>
    </w:p>
    <w:p w14:paraId="3525FD2F" w14:textId="05D979D4" w:rsidR="00892D73" w:rsidRPr="00F06CCA" w:rsidRDefault="00F06CCA" w:rsidP="00F06CCA">
      <w:pPr>
        <w:pStyle w:val="Heading1"/>
      </w:pPr>
      <w:r w:rsidRPr="00F06CCA">
        <w:t>Background</w:t>
      </w:r>
      <w:bookmarkEnd w:id="3"/>
    </w:p>
    <w:p w14:paraId="6A9FCC90" w14:textId="663DDC7A" w:rsidR="00892D73" w:rsidRDefault="00CD08E3" w:rsidP="00F06CCA">
      <w:pPr>
        <w:pStyle w:val="Heading2"/>
        <w:rPr>
          <w:rStyle w:val="Heading2Char"/>
          <w:b/>
        </w:rPr>
      </w:pPr>
      <w:bookmarkStart w:id="4" w:name="_Toc408904299"/>
      <w:bookmarkStart w:id="5" w:name="_Toc11764638"/>
      <w:bookmarkStart w:id="6" w:name="_Toc11828348"/>
      <w:r>
        <w:rPr>
          <w:rStyle w:val="Heading2Char"/>
          <w:b/>
        </w:rPr>
        <w:t xml:space="preserve"> </w:t>
      </w:r>
      <w:r w:rsidR="00892D73" w:rsidRPr="00F06CCA">
        <w:rPr>
          <w:rStyle w:val="Heading2Char"/>
          <w:b/>
        </w:rPr>
        <w:t xml:space="preserve">Mission of the </w:t>
      </w:r>
      <w:bookmarkEnd w:id="4"/>
      <w:r w:rsidR="00892D73" w:rsidRPr="00F06CCA">
        <w:rPr>
          <w:rStyle w:val="Heading2Char"/>
          <w:b/>
        </w:rPr>
        <w:t>&lt;AGENCY&gt;</w:t>
      </w:r>
      <w:bookmarkEnd w:id="5"/>
      <w:bookmarkEnd w:id="6"/>
    </w:p>
    <w:p w14:paraId="6E40132D" w14:textId="31685BE8" w:rsidR="00CD08E3" w:rsidRPr="00CD08E3" w:rsidRDefault="00CD08E3" w:rsidP="00CD08E3">
      <w:r>
        <w:t>XXX</w:t>
      </w:r>
    </w:p>
    <w:p w14:paraId="7B65A485" w14:textId="781A795B" w:rsidR="00892D73" w:rsidRPr="00F06CCA" w:rsidRDefault="00CD08E3" w:rsidP="00F06CCA">
      <w:pPr>
        <w:pStyle w:val="Heading2"/>
      </w:pPr>
      <w:bookmarkStart w:id="7" w:name="_Toc408904300"/>
      <w:bookmarkStart w:id="8" w:name="_Toc11764639"/>
      <w:bookmarkStart w:id="9" w:name="_Toc11828349"/>
      <w:r>
        <w:t xml:space="preserve"> </w:t>
      </w:r>
      <w:r w:rsidR="00892D73" w:rsidRPr="00F06CCA">
        <w:t>Mission of the Chief Financial Officer (CFO)</w:t>
      </w:r>
      <w:bookmarkEnd w:id="7"/>
      <w:bookmarkEnd w:id="8"/>
      <w:bookmarkEnd w:id="9"/>
    </w:p>
    <w:p w14:paraId="05658F43" w14:textId="41CCA1BA" w:rsidR="00892D73" w:rsidRPr="001851B5" w:rsidRDefault="00892D73" w:rsidP="00F06CCA">
      <w:r w:rsidRPr="001851B5">
        <w:t>The mission of the Office of the Chief Financial Officer (OCFO) is to assure the effective management and financial integrity of &lt;AGENCY&gt; programs, activities, and resources by developing and implementing and monitoring Department-wide policies and systems in the areas of budget administration, program analysis and evaluation, finance and accounting, internal controls, corporate financial systems, and strategic planning.</w:t>
      </w:r>
    </w:p>
    <w:p w14:paraId="74352C03" w14:textId="21F6EB1F" w:rsidR="00D60A42" w:rsidRDefault="00D60A42" w:rsidP="00F06CCA">
      <w:pPr>
        <w:pStyle w:val="Heading2"/>
      </w:pPr>
      <w:bookmarkStart w:id="10" w:name="_Toc11764640"/>
      <w:bookmarkStart w:id="11" w:name="_Toc11828350"/>
      <w:r>
        <w:t>Office of Corporate Information Systems</w:t>
      </w:r>
      <w:bookmarkEnd w:id="10"/>
      <w:bookmarkEnd w:id="11"/>
    </w:p>
    <w:p w14:paraId="7EAE1F5D" w14:textId="1579C368" w:rsidR="001851B5" w:rsidRDefault="00892D73" w:rsidP="00F06CCA">
      <w:r w:rsidRPr="00D60A42">
        <w:t xml:space="preserve">The Office of Corporate Information Systems (OCIS) is committed to fostering </w:t>
      </w:r>
      <w:r w:rsidR="00D60A42">
        <w:t>&lt;</w:t>
      </w:r>
      <w:r w:rsidRPr="00D60A42">
        <w:t>AGENCY&gt;’s mission</w:t>
      </w:r>
      <w:r w:rsidR="001851B5">
        <w:t xml:space="preserve"> </w:t>
      </w:r>
      <w:r w:rsidRPr="00D60A42">
        <w:t>through the provision of</w:t>
      </w:r>
      <w:r w:rsidR="001851B5">
        <w:t>:</w:t>
      </w:r>
    </w:p>
    <w:p w14:paraId="2DB35C8F" w14:textId="78AD35F4" w:rsidR="00892D73" w:rsidRDefault="00892D73" w:rsidP="008A0045">
      <w:pPr>
        <w:pStyle w:val="ListParagraph"/>
        <w:numPr>
          <w:ilvl w:val="0"/>
          <w:numId w:val="7"/>
        </w:numPr>
        <w:spacing w:after="240"/>
        <w:contextualSpacing w:val="0"/>
      </w:pPr>
      <w:r w:rsidRPr="00D60A42">
        <w:t xml:space="preserve">Secure, accurate, and timely business transaction capabilities that enable the &lt;AGENCY&gt; complex to acquire and track needed assets, goods and </w:t>
      </w:r>
      <w:proofErr w:type="gramStart"/>
      <w:r w:rsidRPr="00D60A42">
        <w:t>services;</w:t>
      </w:r>
      <w:proofErr w:type="gramEnd"/>
      <w:r w:rsidRPr="00D60A42">
        <w:t xml:space="preserve"> </w:t>
      </w:r>
    </w:p>
    <w:p w14:paraId="54F2B536" w14:textId="0046F8E5" w:rsidR="00892D73" w:rsidRDefault="00892D73" w:rsidP="008A0045">
      <w:pPr>
        <w:pStyle w:val="ListParagraph"/>
        <w:numPr>
          <w:ilvl w:val="0"/>
          <w:numId w:val="7"/>
        </w:numPr>
        <w:spacing w:after="240"/>
        <w:contextualSpacing w:val="0"/>
      </w:pPr>
      <w:r w:rsidRPr="00D60A42">
        <w:t>Accurate information that facilitates knowledgeable decision making by improving transparency and accountability of all OCFO corporate data.</w:t>
      </w:r>
    </w:p>
    <w:p w14:paraId="01888267" w14:textId="25928172" w:rsidR="00892D73" w:rsidRDefault="00892D73" w:rsidP="00A7538B">
      <w:pPr>
        <w:pStyle w:val="ListParagraph"/>
        <w:numPr>
          <w:ilvl w:val="0"/>
          <w:numId w:val="7"/>
        </w:numPr>
        <w:contextualSpacing w:val="0"/>
      </w:pPr>
      <w:r w:rsidRPr="00D60A42">
        <w:t>The business systems soft</w:t>
      </w:r>
      <w:r w:rsidRPr="00A7538B">
        <w:rPr>
          <w:spacing w:val="2"/>
        </w:rPr>
        <w:t>w</w:t>
      </w:r>
      <w:r w:rsidRPr="00D60A42">
        <w:t>are</w:t>
      </w:r>
      <w:r w:rsidRPr="00A7538B">
        <w:rPr>
          <w:spacing w:val="1"/>
        </w:rPr>
        <w:t xml:space="preserve"> </w:t>
      </w:r>
      <w:r w:rsidRPr="00D60A42">
        <w:t>appli</w:t>
      </w:r>
      <w:r w:rsidRPr="00A7538B">
        <w:rPr>
          <w:spacing w:val="1"/>
        </w:rPr>
        <w:t>c</w:t>
      </w:r>
      <w:r w:rsidRPr="00D60A42">
        <w:t>ations are c</w:t>
      </w:r>
      <w:r w:rsidRPr="00A7538B">
        <w:rPr>
          <w:spacing w:val="2"/>
        </w:rPr>
        <w:t>u</w:t>
      </w:r>
      <w:r w:rsidRPr="00D60A42">
        <w:t>rrent</w:t>
      </w:r>
      <w:r w:rsidRPr="00A7538B">
        <w:rPr>
          <w:spacing w:val="5"/>
        </w:rPr>
        <w:t>l</w:t>
      </w:r>
      <w:r w:rsidRPr="00D60A42">
        <w:t>y</w:t>
      </w:r>
      <w:r w:rsidRPr="00A7538B">
        <w:rPr>
          <w:spacing w:val="-5"/>
        </w:rPr>
        <w:t xml:space="preserve"> </w:t>
      </w:r>
      <w:r w:rsidRPr="00D60A42">
        <w:t>com</w:t>
      </w:r>
      <w:r w:rsidRPr="00A7538B">
        <w:rPr>
          <w:spacing w:val="2"/>
        </w:rPr>
        <w:t>p</w:t>
      </w:r>
      <w:r w:rsidRPr="00D60A42">
        <w:t>osed of 26 distinct FISMA moderate or low reportable systems. The flagship systems include:</w:t>
      </w:r>
    </w:p>
    <w:p w14:paraId="555002F0" w14:textId="42F9D3A3" w:rsidR="00E05034" w:rsidRDefault="00892D73" w:rsidP="008A0045">
      <w:pPr>
        <w:pStyle w:val="ListParagraph"/>
        <w:numPr>
          <w:ilvl w:val="0"/>
          <w:numId w:val="15"/>
        </w:numPr>
        <w:ind w:left="1080"/>
        <w:contextualSpacing w:val="0"/>
      </w:pPr>
      <w:r w:rsidRPr="00D60A42">
        <w:rPr>
          <w:b/>
        </w:rPr>
        <w:t>Standard Accounting and Reporting System (STARS)</w:t>
      </w:r>
      <w:r w:rsidRPr="00D60A42">
        <w:t>. STARS is &lt;AGENCY&gt;’s implementation of the Oracle e-Business Suite (Federal Administrator, General Ledger, Accounts Payables, Purchasing, Accounts Receivables, and Fixed Assets</w:t>
      </w:r>
      <w:proofErr w:type="gramStart"/>
      <w:r w:rsidRPr="00D60A42">
        <w:t>);</w:t>
      </w:r>
      <w:proofErr w:type="gramEnd"/>
    </w:p>
    <w:p w14:paraId="5413BD76" w14:textId="3F2A5115" w:rsidR="00E05034" w:rsidRDefault="00892D73" w:rsidP="00A7538B">
      <w:pPr>
        <w:pStyle w:val="ListParagraph"/>
        <w:numPr>
          <w:ilvl w:val="0"/>
          <w:numId w:val="15"/>
        </w:numPr>
        <w:ind w:left="1080"/>
        <w:contextualSpacing w:val="0"/>
      </w:pPr>
      <w:r w:rsidRPr="00D60A42">
        <w:rPr>
          <w:b/>
        </w:rPr>
        <w:t>Strategic Integrated Procurement Enterprise System (STRIPES)</w:t>
      </w:r>
      <w:r w:rsidRPr="00D60A42">
        <w:t xml:space="preserve">. STRIPES is &lt;AGENCY&gt;’s implementation of </w:t>
      </w:r>
      <w:proofErr w:type="spellStart"/>
      <w:r w:rsidRPr="00D60A42">
        <w:t>Compusearch’s</w:t>
      </w:r>
      <w:proofErr w:type="spellEnd"/>
      <w:r w:rsidRPr="00D60A42">
        <w:t xml:space="preserve"> PRISM (Requisitions, Solicitations, Acquisition and Financial Assistance) life</w:t>
      </w:r>
      <w:r w:rsidR="00B1246C">
        <w:t xml:space="preserve"> </w:t>
      </w:r>
      <w:r w:rsidRPr="00D60A42">
        <w:t>cycl</w:t>
      </w:r>
      <w:r w:rsidR="00B1246C">
        <w:t>e</w:t>
      </w:r>
      <w:r w:rsidR="00F06CCA">
        <w:t xml:space="preserve"> </w:t>
      </w:r>
      <w:proofErr w:type="gramStart"/>
      <w:r w:rsidRPr="00D60A42">
        <w:t>modules;</w:t>
      </w:r>
      <w:proofErr w:type="gramEnd"/>
    </w:p>
    <w:p w14:paraId="17CF7BA6" w14:textId="3A24F82C" w:rsidR="00E05034" w:rsidRDefault="00892D73" w:rsidP="00A7538B">
      <w:pPr>
        <w:pStyle w:val="ListParagraph"/>
        <w:numPr>
          <w:ilvl w:val="0"/>
          <w:numId w:val="15"/>
        </w:numPr>
        <w:ind w:left="1080"/>
        <w:contextualSpacing w:val="0"/>
      </w:pPr>
      <w:proofErr w:type="spellStart"/>
      <w:r w:rsidRPr="00D60A42">
        <w:rPr>
          <w:b/>
        </w:rPr>
        <w:t>iPortal</w:t>
      </w:r>
      <w:proofErr w:type="spellEnd"/>
      <w:r w:rsidRPr="00D60A42">
        <w:rPr>
          <w:b/>
        </w:rPr>
        <w:t>.</w:t>
      </w:r>
      <w:r w:rsidRPr="00D60A42">
        <w:t xml:space="preserve"> </w:t>
      </w:r>
      <w:proofErr w:type="spellStart"/>
      <w:r w:rsidRPr="00D60A42">
        <w:t>iPortal</w:t>
      </w:r>
      <w:proofErr w:type="spellEnd"/>
      <w:r w:rsidRPr="00D60A42">
        <w:t xml:space="preserve"> is the single point of entry into the OCIS Systems using Oracle WebCenter Suite, Oracle Universal Content Management, Oracle Services Orientated Architecture (SOA), Oracle Access Manager (OAM</w:t>
      </w:r>
      <w:proofErr w:type="gramStart"/>
      <w:r w:rsidRPr="00D60A42">
        <w:t>);</w:t>
      </w:r>
      <w:proofErr w:type="gramEnd"/>
    </w:p>
    <w:p w14:paraId="457BDF27" w14:textId="10A62B4E" w:rsidR="00892D73" w:rsidRDefault="00892D73" w:rsidP="00A7538B">
      <w:pPr>
        <w:pStyle w:val="ListParagraph"/>
        <w:numPr>
          <w:ilvl w:val="0"/>
          <w:numId w:val="16"/>
        </w:numPr>
        <w:ind w:left="1080"/>
        <w:contextualSpacing w:val="0"/>
      </w:pPr>
      <w:r w:rsidRPr="00D60A42">
        <w:rPr>
          <w:b/>
        </w:rPr>
        <w:lastRenderedPageBreak/>
        <w:t>Integrated Data Warehouse (IDW)</w:t>
      </w:r>
      <w:r w:rsidRPr="00D60A42">
        <w:t>. IDW is the integration of &lt;AGENCY&gt;’s corporate business information utilizing Oracle Database and Oracle Warehouse Builder (OWB</w:t>
      </w:r>
      <w:proofErr w:type="gramStart"/>
      <w:r w:rsidRPr="00D60A42">
        <w:t>);</w:t>
      </w:r>
      <w:proofErr w:type="gramEnd"/>
      <w:r w:rsidRPr="00D60A42">
        <w:t xml:space="preserve"> </w:t>
      </w:r>
    </w:p>
    <w:p w14:paraId="7E79624C" w14:textId="28DF4264" w:rsidR="00E05034" w:rsidRDefault="00892D73" w:rsidP="00A7538B">
      <w:pPr>
        <w:pStyle w:val="ListParagraph"/>
        <w:numPr>
          <w:ilvl w:val="0"/>
          <w:numId w:val="16"/>
        </w:numPr>
        <w:ind w:left="1080"/>
        <w:contextualSpacing w:val="0"/>
      </w:pPr>
      <w:r w:rsidRPr="00D60A42">
        <w:rPr>
          <w:b/>
        </w:rPr>
        <w:t>Entity Portfolio Assessment Tool (EPAT)</w:t>
      </w:r>
      <w:r w:rsidRPr="00D60A42">
        <w:t>. EPAT uses Oracle’s Primavera Portfolio Manager (PPM</w:t>
      </w:r>
      <w:proofErr w:type="gramStart"/>
      <w:r w:rsidRPr="00D60A42">
        <w:t>);</w:t>
      </w:r>
      <w:proofErr w:type="gramEnd"/>
      <w:r w:rsidRPr="00D60A42">
        <w:t xml:space="preserve"> </w:t>
      </w:r>
    </w:p>
    <w:p w14:paraId="7BDE67C7" w14:textId="2201CB9D" w:rsidR="00E05034" w:rsidRDefault="00892D73" w:rsidP="00A7538B">
      <w:pPr>
        <w:pStyle w:val="ListParagraph"/>
        <w:numPr>
          <w:ilvl w:val="0"/>
          <w:numId w:val="16"/>
        </w:numPr>
        <w:ind w:left="1080"/>
        <w:contextualSpacing w:val="0"/>
      </w:pPr>
      <w:r w:rsidRPr="00D60A42">
        <w:rPr>
          <w:b/>
        </w:rPr>
        <w:t>Funds Distribution System (FDS) 2.0</w:t>
      </w:r>
      <w:r w:rsidRPr="00D60A42">
        <w:t xml:space="preserve"> uses Oracle Hyperion software for budget planning, execution and funds distribution processes and systems.</w:t>
      </w:r>
    </w:p>
    <w:p w14:paraId="6ECF0F5D" w14:textId="79FAE1C9" w:rsidR="00E05034" w:rsidRDefault="00892D73" w:rsidP="00F06CCA">
      <w:pPr>
        <w:pStyle w:val="ListParagraph"/>
        <w:numPr>
          <w:ilvl w:val="0"/>
          <w:numId w:val="3"/>
        </w:numPr>
        <w:contextualSpacing w:val="0"/>
      </w:pPr>
      <w:r w:rsidRPr="00D60A42">
        <w:t xml:space="preserve">Forms applications running on </w:t>
      </w:r>
      <w:proofErr w:type="spellStart"/>
      <w:r w:rsidRPr="00D60A42">
        <w:t>iPortal</w:t>
      </w:r>
      <w:proofErr w:type="spellEnd"/>
      <w:r w:rsidRPr="00D60A42">
        <w:t xml:space="preserve"> and IDW developed using Oracle Application Express (APEX); and</w:t>
      </w:r>
    </w:p>
    <w:p w14:paraId="0EEE42C0" w14:textId="191A9A45" w:rsidR="004321A4" w:rsidRPr="00D60A42" w:rsidRDefault="00892D73" w:rsidP="00F06CCA">
      <w:pPr>
        <w:pStyle w:val="ListParagraph"/>
        <w:numPr>
          <w:ilvl w:val="0"/>
          <w:numId w:val="3"/>
        </w:numPr>
        <w:contextualSpacing w:val="0"/>
      </w:pPr>
      <w:r w:rsidRPr="00D60A42">
        <w:t>Interfaces including Web interfaces that enable sharing or exchange of data with other business systems.</w:t>
      </w:r>
    </w:p>
    <w:p w14:paraId="7BE6F406" w14:textId="34355E7C" w:rsidR="00892D73" w:rsidRPr="00E05034" w:rsidRDefault="00F06CCA" w:rsidP="00F06CCA">
      <w:pPr>
        <w:pStyle w:val="Heading1"/>
      </w:pPr>
      <w:bookmarkStart w:id="12" w:name="_Toc408904302"/>
      <w:bookmarkStart w:id="13" w:name="_Toc11764641"/>
      <w:bookmarkStart w:id="14" w:name="_Toc11828351"/>
      <w:r w:rsidRPr="00F06CCA">
        <w:t>Collaboration</w:t>
      </w:r>
      <w:bookmarkEnd w:id="12"/>
      <w:bookmarkEnd w:id="13"/>
      <w:bookmarkEnd w:id="14"/>
    </w:p>
    <w:p w14:paraId="557526F8" w14:textId="4F08585D" w:rsidR="00892D73" w:rsidRDefault="00892D73" w:rsidP="00F06CCA">
      <w:r w:rsidRPr="00796659">
        <w:rPr>
          <w:spacing w:val="-1"/>
        </w:rPr>
        <w:t>A</w:t>
      </w:r>
      <w:r w:rsidRPr="00796659">
        <w:t xml:space="preserve">ll </w:t>
      </w:r>
      <w:r w:rsidRPr="00796659">
        <w:rPr>
          <w:spacing w:val="-1"/>
        </w:rPr>
        <w:t>Contractor</w:t>
      </w:r>
      <w:r w:rsidRPr="00796659">
        <w:t>s involv</w:t>
      </w:r>
      <w:r w:rsidRPr="00796659">
        <w:rPr>
          <w:spacing w:val="-1"/>
        </w:rPr>
        <w:t>e</w:t>
      </w:r>
      <w:r w:rsidRPr="00796659">
        <w:t xml:space="preserve">d with the OCFO </w:t>
      </w:r>
      <w:r w:rsidRPr="00796659">
        <w:rPr>
          <w:spacing w:val="1"/>
        </w:rPr>
        <w:t>P</w:t>
      </w:r>
      <w:r w:rsidRPr="00796659">
        <w:rPr>
          <w:spacing w:val="-1"/>
        </w:rPr>
        <w:t>r</w:t>
      </w:r>
      <w:r w:rsidRPr="00796659">
        <w:rPr>
          <w:spacing w:val="2"/>
        </w:rPr>
        <w:t>o</w:t>
      </w:r>
      <w:r w:rsidRPr="00796659">
        <w:rPr>
          <w:spacing w:val="-2"/>
        </w:rPr>
        <w:t>g</w:t>
      </w:r>
      <w:r w:rsidRPr="00796659">
        <w:rPr>
          <w:spacing w:val="2"/>
        </w:rPr>
        <w:t>r</w:t>
      </w:r>
      <w:r w:rsidRPr="00796659">
        <w:rPr>
          <w:spacing w:val="-1"/>
        </w:rPr>
        <w:t>a</w:t>
      </w:r>
      <w:r w:rsidRPr="00796659">
        <w:t>m will wo</w:t>
      </w:r>
      <w:r w:rsidRPr="00796659">
        <w:rPr>
          <w:spacing w:val="-1"/>
        </w:rPr>
        <w:t>r</w:t>
      </w:r>
      <w:r w:rsidRPr="00796659">
        <w:t xml:space="preserve">k </w:t>
      </w:r>
      <w:r w:rsidRPr="00796659">
        <w:rPr>
          <w:spacing w:val="-1"/>
        </w:rPr>
        <w:t>c</w:t>
      </w:r>
      <w:r w:rsidRPr="00796659">
        <w:t>oll</w:t>
      </w:r>
      <w:r w:rsidRPr="00796659">
        <w:rPr>
          <w:spacing w:val="-1"/>
        </w:rPr>
        <w:t>a</w:t>
      </w:r>
      <w:r w:rsidRPr="00796659">
        <w:t>bo</w:t>
      </w:r>
      <w:r w:rsidRPr="00796659">
        <w:rPr>
          <w:spacing w:val="-1"/>
        </w:rPr>
        <w:t>ra</w:t>
      </w:r>
      <w:r w:rsidRPr="00796659">
        <w:t>tiv</w:t>
      </w:r>
      <w:r w:rsidRPr="00796659">
        <w:rPr>
          <w:spacing w:val="-1"/>
        </w:rPr>
        <w:t>e</w:t>
      </w:r>
      <w:r w:rsidRPr="00796659">
        <w:rPr>
          <w:spacing w:val="5"/>
        </w:rPr>
        <w:t>l</w:t>
      </w:r>
      <w:r w:rsidRPr="00796659">
        <w:t>y</w:t>
      </w:r>
      <w:r w:rsidRPr="00796659">
        <w:rPr>
          <w:spacing w:val="-5"/>
        </w:rPr>
        <w:t xml:space="preserve"> </w:t>
      </w:r>
      <w:r w:rsidRPr="00796659">
        <w:t xml:space="preserve">with </w:t>
      </w:r>
      <w:r w:rsidRPr="00796659">
        <w:rPr>
          <w:spacing w:val="-1"/>
        </w:rPr>
        <w:t>Fe</w:t>
      </w:r>
      <w:r w:rsidRPr="00796659">
        <w:rPr>
          <w:spacing w:val="2"/>
        </w:rPr>
        <w:t>d</w:t>
      </w:r>
      <w:r w:rsidRPr="00796659">
        <w:rPr>
          <w:spacing w:val="1"/>
        </w:rPr>
        <w:t>e</w:t>
      </w:r>
      <w:r w:rsidRPr="00796659">
        <w:rPr>
          <w:spacing w:val="-1"/>
        </w:rPr>
        <w:t>ra</w:t>
      </w:r>
      <w:r w:rsidRPr="00796659">
        <w:t>l st</w:t>
      </w:r>
      <w:r w:rsidRPr="00796659">
        <w:rPr>
          <w:spacing w:val="-1"/>
        </w:rPr>
        <w:t>af</w:t>
      </w:r>
      <w:r w:rsidRPr="00796659">
        <w:t>f</w:t>
      </w:r>
      <w:r w:rsidRPr="00796659">
        <w:rPr>
          <w:spacing w:val="2"/>
        </w:rPr>
        <w:t xml:space="preserve"> </w:t>
      </w:r>
      <w:r w:rsidRPr="00796659">
        <w:rPr>
          <w:spacing w:val="-1"/>
        </w:rPr>
        <w:t>a</w:t>
      </w:r>
      <w:r w:rsidRPr="00796659">
        <w:t>nd oth</w:t>
      </w:r>
      <w:r w:rsidRPr="00796659">
        <w:rPr>
          <w:spacing w:val="-1"/>
        </w:rPr>
        <w:t>e</w:t>
      </w:r>
      <w:r w:rsidRPr="00796659">
        <w:t>r</w:t>
      </w:r>
      <w:r w:rsidRPr="00796659">
        <w:rPr>
          <w:spacing w:val="-1"/>
        </w:rPr>
        <w:t xml:space="preserve"> Contractor</w:t>
      </w:r>
      <w:r w:rsidRPr="00796659">
        <w:t xml:space="preserve">s and </w:t>
      </w:r>
      <w:r w:rsidRPr="00796659">
        <w:rPr>
          <w:spacing w:val="-1"/>
        </w:rPr>
        <w:t>f</w:t>
      </w:r>
      <w:r w:rsidRPr="00796659">
        <w:t>ollow the</w:t>
      </w:r>
      <w:r w:rsidRPr="00796659">
        <w:rPr>
          <w:spacing w:val="-1"/>
        </w:rPr>
        <w:t xml:space="preserve"> </w:t>
      </w:r>
      <w:r w:rsidRPr="00796659">
        <w:t>di</w:t>
      </w:r>
      <w:r w:rsidRPr="00796659">
        <w:rPr>
          <w:spacing w:val="-1"/>
        </w:rPr>
        <w:t>rec</w:t>
      </w:r>
      <w:r w:rsidRPr="00796659">
        <w:t>tion of</w:t>
      </w:r>
      <w:r w:rsidRPr="00796659">
        <w:rPr>
          <w:spacing w:val="-1"/>
        </w:rPr>
        <w:t xml:space="preserve"> </w:t>
      </w:r>
      <w:r w:rsidRPr="00796659">
        <w:t>the</w:t>
      </w:r>
      <w:r w:rsidRPr="00796659">
        <w:rPr>
          <w:spacing w:val="-1"/>
        </w:rPr>
        <w:t xml:space="preserve"> Contracting Officer, </w:t>
      </w:r>
      <w:r w:rsidRPr="00796659">
        <w:rPr>
          <w:spacing w:val="1"/>
        </w:rPr>
        <w:t>C</w:t>
      </w:r>
      <w:r w:rsidRPr="00796659">
        <w:t>ont</w:t>
      </w:r>
      <w:r w:rsidRPr="00796659">
        <w:rPr>
          <w:spacing w:val="2"/>
        </w:rPr>
        <w:t>r</w:t>
      </w:r>
      <w:r w:rsidRPr="00796659">
        <w:rPr>
          <w:spacing w:val="-1"/>
        </w:rPr>
        <w:t>ac</w:t>
      </w:r>
      <w:r w:rsidRPr="00796659">
        <w:t>ting O</w:t>
      </w:r>
      <w:r w:rsidRPr="00796659">
        <w:rPr>
          <w:spacing w:val="-1"/>
        </w:rPr>
        <w:t>ff</w:t>
      </w:r>
      <w:r w:rsidRPr="00796659">
        <w:t>i</w:t>
      </w:r>
      <w:r w:rsidRPr="00796659">
        <w:rPr>
          <w:spacing w:val="1"/>
        </w:rPr>
        <w:t>c</w:t>
      </w:r>
      <w:r w:rsidRPr="00796659">
        <w:rPr>
          <w:spacing w:val="-1"/>
        </w:rPr>
        <w:t>er’</w:t>
      </w:r>
      <w:r w:rsidRPr="00796659">
        <w:t xml:space="preserve">s </w:t>
      </w:r>
      <w:r w:rsidRPr="00796659">
        <w:rPr>
          <w:spacing w:val="1"/>
        </w:rPr>
        <w:t>R</w:t>
      </w:r>
      <w:r w:rsidRPr="00796659">
        <w:rPr>
          <w:spacing w:val="-1"/>
        </w:rPr>
        <w:t>e</w:t>
      </w:r>
      <w:r w:rsidRPr="00796659">
        <w:t>p</w:t>
      </w:r>
      <w:r w:rsidRPr="00796659">
        <w:rPr>
          <w:spacing w:val="-1"/>
        </w:rPr>
        <w:t>re</w:t>
      </w:r>
      <w:r w:rsidRPr="00796659">
        <w:t>s</w:t>
      </w:r>
      <w:r w:rsidRPr="00796659">
        <w:rPr>
          <w:spacing w:val="-1"/>
        </w:rPr>
        <w:t>e</w:t>
      </w:r>
      <w:r w:rsidRPr="00796659">
        <w:t>nt</w:t>
      </w:r>
      <w:r w:rsidRPr="00796659">
        <w:rPr>
          <w:spacing w:val="-1"/>
        </w:rPr>
        <w:t>a</w:t>
      </w:r>
      <w:r w:rsidRPr="00796659">
        <w:t>tive</w:t>
      </w:r>
      <w:r w:rsidRPr="00796659">
        <w:rPr>
          <w:spacing w:val="-1"/>
        </w:rPr>
        <w:t xml:space="preserve"> (</w:t>
      </w:r>
      <w:r w:rsidRPr="00796659">
        <w:rPr>
          <w:spacing w:val="1"/>
        </w:rPr>
        <w:t>C</w:t>
      </w:r>
      <w:r w:rsidRPr="00796659">
        <w:t>O</w:t>
      </w:r>
      <w:r w:rsidRPr="00796659">
        <w:rPr>
          <w:spacing w:val="1"/>
        </w:rPr>
        <w:t>R</w:t>
      </w:r>
      <w:r w:rsidRPr="00796659">
        <w:rPr>
          <w:spacing w:val="2"/>
        </w:rPr>
        <w:t>)</w:t>
      </w:r>
      <w:r w:rsidRPr="00796659">
        <w:t xml:space="preserve"> or Alt</w:t>
      </w:r>
      <w:r w:rsidRPr="00796659">
        <w:rPr>
          <w:spacing w:val="-1"/>
        </w:rPr>
        <w:t>er</w:t>
      </w:r>
      <w:r w:rsidRPr="00796659">
        <w:t>n</w:t>
      </w:r>
      <w:r w:rsidRPr="00796659">
        <w:rPr>
          <w:spacing w:val="-1"/>
        </w:rPr>
        <w:t>a</w:t>
      </w:r>
      <w:r w:rsidRPr="00796659">
        <w:t>te</w:t>
      </w:r>
      <w:r w:rsidRPr="00796659">
        <w:rPr>
          <w:spacing w:val="1"/>
        </w:rPr>
        <w:t xml:space="preserve"> C</w:t>
      </w:r>
      <w:r w:rsidRPr="00796659">
        <w:t>O</w:t>
      </w:r>
      <w:r w:rsidRPr="00796659">
        <w:rPr>
          <w:spacing w:val="1"/>
        </w:rPr>
        <w:t xml:space="preserve">R, in collaboration with </w:t>
      </w:r>
      <w:r w:rsidRPr="00796659">
        <w:t>the</w:t>
      </w:r>
      <w:r w:rsidRPr="00796659">
        <w:rPr>
          <w:spacing w:val="-1"/>
        </w:rPr>
        <w:t xml:space="preserve"> Federal Program Manager, or designee. </w:t>
      </w:r>
      <w:r w:rsidRPr="00796659">
        <w:t xml:space="preserve">This </w:t>
      </w:r>
      <w:r w:rsidRPr="00796659">
        <w:rPr>
          <w:spacing w:val="-1"/>
        </w:rPr>
        <w:t>c</w:t>
      </w:r>
      <w:r w:rsidRPr="00796659">
        <w:t>o</w:t>
      </w:r>
      <w:r w:rsidRPr="00796659">
        <w:rPr>
          <w:spacing w:val="3"/>
        </w:rPr>
        <w:t>l</w:t>
      </w:r>
      <w:r w:rsidRPr="00796659">
        <w:t>l</w:t>
      </w:r>
      <w:r w:rsidRPr="00796659">
        <w:rPr>
          <w:spacing w:val="-1"/>
        </w:rPr>
        <w:t>a</w:t>
      </w:r>
      <w:r w:rsidRPr="00796659">
        <w:t>bo</w:t>
      </w:r>
      <w:r w:rsidRPr="00796659">
        <w:rPr>
          <w:spacing w:val="-1"/>
        </w:rPr>
        <w:t>ra</w:t>
      </w:r>
      <w:r w:rsidRPr="00796659">
        <w:t>tion in</w:t>
      </w:r>
      <w:r w:rsidRPr="00796659">
        <w:rPr>
          <w:spacing w:val="-1"/>
        </w:rPr>
        <w:t>c</w:t>
      </w:r>
      <w:r w:rsidRPr="00796659">
        <w:t>lud</w:t>
      </w:r>
      <w:r w:rsidRPr="00796659">
        <w:rPr>
          <w:spacing w:val="-1"/>
        </w:rPr>
        <w:t>e</w:t>
      </w:r>
      <w:r w:rsidRPr="00796659">
        <w:t>s d</w:t>
      </w:r>
      <w:r w:rsidRPr="00796659">
        <w:rPr>
          <w:spacing w:val="4"/>
        </w:rPr>
        <w:t>a</w:t>
      </w:r>
      <w:r w:rsidRPr="00796659">
        <w:rPr>
          <w:spacing w:val="-5"/>
        </w:rPr>
        <w:t>y</w:t>
      </w:r>
      <w:r w:rsidRPr="00796659">
        <w:rPr>
          <w:spacing w:val="-1"/>
        </w:rPr>
        <w:t>-</w:t>
      </w:r>
      <w:r w:rsidRPr="00796659">
        <w:t>to</w:t>
      </w:r>
      <w:r w:rsidRPr="00796659">
        <w:rPr>
          <w:spacing w:val="-1"/>
        </w:rPr>
        <w:t>-</w:t>
      </w:r>
      <w:r w:rsidRPr="00796659">
        <w:t>d</w:t>
      </w:r>
      <w:r w:rsidRPr="00796659">
        <w:rPr>
          <w:spacing w:val="4"/>
        </w:rPr>
        <w:t>a</w:t>
      </w:r>
      <w:r w:rsidRPr="00796659">
        <w:t>y</w:t>
      </w:r>
      <w:r w:rsidRPr="00796659">
        <w:rPr>
          <w:spacing w:val="-2"/>
        </w:rPr>
        <w:t xml:space="preserve"> </w:t>
      </w:r>
      <w:r w:rsidRPr="00796659">
        <w:rPr>
          <w:spacing w:val="-1"/>
        </w:rPr>
        <w:t>ac</w:t>
      </w:r>
      <w:r w:rsidRPr="00796659">
        <w:t>ti</w:t>
      </w:r>
      <w:r w:rsidRPr="00796659">
        <w:rPr>
          <w:spacing w:val="2"/>
        </w:rPr>
        <w:t>v</w:t>
      </w:r>
      <w:r w:rsidRPr="00796659">
        <w:t>iti</w:t>
      </w:r>
      <w:r w:rsidRPr="00796659">
        <w:rPr>
          <w:spacing w:val="-1"/>
        </w:rPr>
        <w:t>e</w:t>
      </w:r>
      <w:r w:rsidRPr="00796659">
        <w:t>s, pl</w:t>
      </w:r>
      <w:r w:rsidRPr="00796659">
        <w:rPr>
          <w:spacing w:val="-1"/>
        </w:rPr>
        <w:t>a</w:t>
      </w:r>
      <w:r w:rsidRPr="00796659">
        <w:t>nnin</w:t>
      </w:r>
      <w:r w:rsidRPr="00796659">
        <w:rPr>
          <w:spacing w:val="-2"/>
        </w:rPr>
        <w:t>g</w:t>
      </w:r>
      <w:r w:rsidRPr="00796659">
        <w:t>, d</w:t>
      </w:r>
      <w:r w:rsidRPr="00796659">
        <w:rPr>
          <w:spacing w:val="-1"/>
        </w:rPr>
        <w:t>e</w:t>
      </w:r>
      <w:r w:rsidRPr="00796659">
        <w:t>v</w:t>
      </w:r>
      <w:r w:rsidRPr="00796659">
        <w:rPr>
          <w:spacing w:val="-1"/>
        </w:rPr>
        <w:t>e</w:t>
      </w:r>
      <w:r w:rsidRPr="00796659">
        <w:t>lop</w:t>
      </w:r>
      <w:r w:rsidRPr="00796659">
        <w:rPr>
          <w:spacing w:val="3"/>
        </w:rPr>
        <w:t>m</w:t>
      </w:r>
      <w:r w:rsidRPr="00796659">
        <w:rPr>
          <w:spacing w:val="-1"/>
        </w:rPr>
        <w:t>e</w:t>
      </w:r>
      <w:r w:rsidRPr="00796659">
        <w:t>nt, prioritization, knowl</w:t>
      </w:r>
      <w:r w:rsidRPr="00796659">
        <w:rPr>
          <w:spacing w:val="-1"/>
        </w:rPr>
        <w:t>e</w:t>
      </w:r>
      <w:r w:rsidRPr="00796659">
        <w:rPr>
          <w:spacing w:val="2"/>
        </w:rPr>
        <w:t>d</w:t>
      </w:r>
      <w:r w:rsidRPr="00796659">
        <w:rPr>
          <w:spacing w:val="-2"/>
        </w:rPr>
        <w:t>g</w:t>
      </w:r>
      <w:r w:rsidRPr="00796659">
        <w:t>e</w:t>
      </w:r>
      <w:r w:rsidRPr="00796659">
        <w:rPr>
          <w:spacing w:val="-1"/>
        </w:rPr>
        <w:t xml:space="preserve"> </w:t>
      </w:r>
      <w:r w:rsidRPr="00796659">
        <w:t>t</w:t>
      </w:r>
      <w:r w:rsidRPr="00796659">
        <w:rPr>
          <w:spacing w:val="-1"/>
        </w:rPr>
        <w:t>ra</w:t>
      </w:r>
      <w:r w:rsidRPr="00796659">
        <w:t>n</w:t>
      </w:r>
      <w:r w:rsidRPr="00796659">
        <w:rPr>
          <w:spacing w:val="3"/>
        </w:rPr>
        <w:t>s</w:t>
      </w:r>
      <w:r w:rsidRPr="00796659">
        <w:rPr>
          <w:spacing w:val="-1"/>
        </w:rPr>
        <w:t>fe</w:t>
      </w:r>
      <w:r w:rsidRPr="00796659">
        <w:t>r</w:t>
      </w:r>
      <w:r w:rsidRPr="00796659">
        <w:rPr>
          <w:spacing w:val="2"/>
        </w:rPr>
        <w:t xml:space="preserve"> </w:t>
      </w:r>
      <w:r w:rsidRPr="00796659">
        <w:rPr>
          <w:spacing w:val="1"/>
        </w:rPr>
        <w:t>a</w:t>
      </w:r>
      <w:r w:rsidRPr="00796659">
        <w:t xml:space="preserve">nd </w:t>
      </w:r>
      <w:r w:rsidRPr="00796659">
        <w:rPr>
          <w:spacing w:val="-1"/>
        </w:rPr>
        <w:t>crea</w:t>
      </w:r>
      <w:r w:rsidRPr="00796659">
        <w:t>ti</w:t>
      </w:r>
      <w:r w:rsidRPr="00796659">
        <w:rPr>
          <w:spacing w:val="2"/>
        </w:rPr>
        <w:t>n</w:t>
      </w:r>
      <w:r w:rsidRPr="00796659">
        <w:t xml:space="preserve">g </w:t>
      </w:r>
      <w:r w:rsidRPr="00796659">
        <w:rPr>
          <w:spacing w:val="-1"/>
        </w:rPr>
        <w:t>a</w:t>
      </w:r>
      <w:r w:rsidRPr="00796659">
        <w:t>nd sh</w:t>
      </w:r>
      <w:r w:rsidRPr="00796659">
        <w:rPr>
          <w:spacing w:val="-1"/>
        </w:rPr>
        <w:t>ar</w:t>
      </w:r>
      <w:r w:rsidRPr="00796659">
        <w:t>i</w:t>
      </w:r>
      <w:r w:rsidRPr="00796659">
        <w:rPr>
          <w:spacing w:val="2"/>
        </w:rPr>
        <w:t>n</w:t>
      </w:r>
      <w:r w:rsidRPr="00796659">
        <w:t>g</w:t>
      </w:r>
      <w:r w:rsidRPr="00796659">
        <w:rPr>
          <w:spacing w:val="-2"/>
        </w:rPr>
        <w:t xml:space="preserve"> </w:t>
      </w:r>
      <w:r w:rsidRPr="00796659">
        <w:t>do</w:t>
      </w:r>
      <w:r w:rsidRPr="00796659">
        <w:rPr>
          <w:spacing w:val="-1"/>
        </w:rPr>
        <w:t>c</w:t>
      </w:r>
      <w:r w:rsidRPr="00796659">
        <w:t>um</w:t>
      </w:r>
      <w:r w:rsidRPr="00796659">
        <w:rPr>
          <w:spacing w:val="-1"/>
        </w:rPr>
        <w:t>e</w:t>
      </w:r>
      <w:r w:rsidRPr="00796659">
        <w:t>n</w:t>
      </w:r>
      <w:r w:rsidRPr="00796659">
        <w:rPr>
          <w:spacing w:val="3"/>
        </w:rPr>
        <w:t>t</w:t>
      </w:r>
      <w:r w:rsidRPr="00796659">
        <w:rPr>
          <w:spacing w:val="-1"/>
        </w:rPr>
        <w:t>a</w:t>
      </w:r>
      <w:r w:rsidRPr="00796659">
        <w:t>tion</w:t>
      </w:r>
      <w:r>
        <w:t>.</w:t>
      </w:r>
    </w:p>
    <w:p w14:paraId="59DC23BA" w14:textId="77777777" w:rsidR="00892D73" w:rsidRPr="00796659" w:rsidRDefault="00892D73" w:rsidP="00F06CCA">
      <w:r w:rsidRPr="00796659">
        <w:t>The Contractors will need to work together to best achieve the OCFO vision for. Within Program, the following major roles and responsibilities include:</w:t>
      </w:r>
    </w:p>
    <w:p w14:paraId="36458FB9" w14:textId="179A896E" w:rsidR="00892D73" w:rsidRDefault="00892D73" w:rsidP="0093537E">
      <w:pPr>
        <w:pStyle w:val="ListParagraph"/>
        <w:numPr>
          <w:ilvl w:val="0"/>
          <w:numId w:val="14"/>
        </w:numPr>
        <w:ind w:left="720"/>
        <w:contextualSpacing w:val="0"/>
      </w:pPr>
      <w:r w:rsidRPr="0093537E">
        <w:rPr>
          <w:b/>
        </w:rPr>
        <w:t>Program Management Consulting, Integration and Mission Support Services Contractors Program Management).</w:t>
      </w:r>
      <w:r w:rsidR="00F06CCA" w:rsidRPr="0093537E">
        <w:rPr>
          <w:b/>
        </w:rPr>
        <w:t xml:space="preserve"> </w:t>
      </w:r>
      <w:r w:rsidRPr="00901882">
        <w:t>The Program Management Contractors are responsible for providing program management, consulting, integration</w:t>
      </w:r>
      <w:r w:rsidR="00B1246C">
        <w:t>,</w:t>
      </w:r>
      <w:r w:rsidRPr="00901882">
        <w:t xml:space="preserve"> and mission support services to the OCFO</w:t>
      </w:r>
    </w:p>
    <w:p w14:paraId="047E484C" w14:textId="77777777" w:rsidR="0093537E" w:rsidRDefault="00892D73" w:rsidP="0093537E">
      <w:pPr>
        <w:pStyle w:val="ListParagraph"/>
        <w:numPr>
          <w:ilvl w:val="0"/>
          <w:numId w:val="14"/>
        </w:numPr>
        <w:ind w:left="720"/>
        <w:contextualSpacing w:val="0"/>
      </w:pPr>
      <w:r w:rsidRPr="0093537E">
        <w:rPr>
          <w:b/>
        </w:rPr>
        <w:t>Operations and Maintenance (O&amp;M) Contractor.</w:t>
      </w:r>
      <w:r w:rsidRPr="00324D5F">
        <w:t xml:space="preserve"> The O&amp;M Contractor is responsible for the O&amp;M of the OCIS systems currently in the O&amp;M phase of the systems’ lifecycle, including upgrades, patches</w:t>
      </w:r>
      <w:r w:rsidR="00B1246C">
        <w:t>,</w:t>
      </w:r>
      <w:r w:rsidRPr="00324D5F">
        <w:t xml:space="preserve"> and other enhancements. Additional systems may be added at the direction of the Contracting Officer in collaboration with the Federal Program Manager</w:t>
      </w:r>
    </w:p>
    <w:p w14:paraId="22AC7BA0" w14:textId="4FB2A32C" w:rsidR="00892D73" w:rsidRDefault="00892D73" w:rsidP="0093537E">
      <w:pPr>
        <w:pStyle w:val="ListParagraph"/>
        <w:numPr>
          <w:ilvl w:val="0"/>
          <w:numId w:val="14"/>
        </w:numPr>
        <w:ind w:left="720"/>
        <w:contextualSpacing w:val="0"/>
      </w:pPr>
      <w:r w:rsidRPr="0093537E">
        <w:rPr>
          <w:b/>
        </w:rPr>
        <w:t>Office of Corporate Information Systems (OCIS)</w:t>
      </w:r>
      <w:r w:rsidRPr="00901882">
        <w:t>. The Office of Corporate Information Systems (OCIS) Federal Staff, which fall under the OCFO, are responsible for Federal Project Management oversight of the OCIS Program and OCFO support services.</w:t>
      </w:r>
      <w:r w:rsidR="00F06CCA">
        <w:t xml:space="preserve"> </w:t>
      </w:r>
      <w:r w:rsidRPr="00901882">
        <w:t>The Federal Program and Project Managers are responsible for the overall direction and management oversight of the various projects. The other Federal staff may assume various roles on their teams and provides additional support on key tasks</w:t>
      </w:r>
    </w:p>
    <w:p w14:paraId="65EDA15E" w14:textId="77777777" w:rsidR="0093537E" w:rsidRDefault="00892D73" w:rsidP="0093537E">
      <w:pPr>
        <w:pStyle w:val="ListParagraph"/>
        <w:numPr>
          <w:ilvl w:val="0"/>
          <w:numId w:val="14"/>
        </w:numPr>
        <w:ind w:left="720"/>
        <w:contextualSpacing w:val="0"/>
      </w:pPr>
      <w:r w:rsidRPr="0093537E">
        <w:rPr>
          <w:b/>
        </w:rPr>
        <w:lastRenderedPageBreak/>
        <w:t>Other OCFO Contractors.</w:t>
      </w:r>
      <w:r w:rsidRPr="00901882">
        <w:t xml:space="preserve"> The Program Management Contractor will be responsible for collaborating and cooperating with all other OCFO Contractors, and will respond in the fashion directed by the COR, Alternate COR, or the Federal Program Manager</w:t>
      </w:r>
    </w:p>
    <w:p w14:paraId="3D952FD5" w14:textId="77777777" w:rsidR="0093537E" w:rsidRDefault="00892D73" w:rsidP="0093537E">
      <w:pPr>
        <w:pStyle w:val="ListParagraph"/>
        <w:numPr>
          <w:ilvl w:val="0"/>
          <w:numId w:val="14"/>
        </w:numPr>
        <w:ind w:left="720"/>
        <w:contextualSpacing w:val="0"/>
      </w:pPr>
      <w:r w:rsidRPr="0093537E">
        <w:rPr>
          <w:b/>
        </w:rPr>
        <w:t>Office of the Chief Information Officer (OCIO).</w:t>
      </w:r>
      <w:r w:rsidRPr="00901882">
        <w:t xml:space="preserve"> The Office of the Chief Information Officer (OCIO) Application Hosting Environment (AHE) provides application hosting and housing </w:t>
      </w:r>
      <w:proofErr w:type="gramStart"/>
      <w:r w:rsidRPr="00901882">
        <w:t>services, and</w:t>
      </w:r>
      <w:proofErr w:type="gramEnd"/>
      <w:r w:rsidRPr="00901882">
        <w:t xml:space="preserve"> provides customers with a fully managed hosting solution. They typically provide infrastructure support from the Operating System down to the hardware; and </w:t>
      </w:r>
    </w:p>
    <w:p w14:paraId="550BB08B" w14:textId="4D2AC7D6" w:rsidR="00892D73" w:rsidRDefault="00892D73" w:rsidP="0093537E">
      <w:pPr>
        <w:pStyle w:val="ListParagraph"/>
        <w:numPr>
          <w:ilvl w:val="0"/>
          <w:numId w:val="14"/>
        </w:numPr>
        <w:ind w:left="720"/>
        <w:contextualSpacing w:val="0"/>
      </w:pPr>
      <w:r w:rsidRPr="0093537E">
        <w:rPr>
          <w:b/>
        </w:rPr>
        <w:t>User Stakeholder Groups</w:t>
      </w:r>
      <w:r w:rsidRPr="00901882">
        <w:t xml:space="preserve">. Individual communication with our various user stakeholder groups in the program and field offices occur as needed when implementing new services and software applications, as well as business process improvements. </w:t>
      </w:r>
    </w:p>
    <w:p w14:paraId="3C80A694" w14:textId="726FDF10" w:rsidR="00892D73" w:rsidRPr="003B29B5" w:rsidRDefault="003B29B5" w:rsidP="003B29B5">
      <w:pPr>
        <w:pStyle w:val="Heading1"/>
      </w:pPr>
      <w:bookmarkStart w:id="15" w:name="_Toc408904303"/>
      <w:bookmarkStart w:id="16" w:name="_Toc11764642"/>
      <w:bookmarkStart w:id="17" w:name="_Toc11828352"/>
      <w:r w:rsidRPr="003B29B5">
        <w:t>Scope</w:t>
      </w:r>
      <w:bookmarkEnd w:id="15"/>
      <w:bookmarkEnd w:id="16"/>
      <w:bookmarkEnd w:id="17"/>
    </w:p>
    <w:p w14:paraId="2E834CB1" w14:textId="542EDC72" w:rsidR="00892D73" w:rsidRPr="003B29B5" w:rsidRDefault="00892D73" w:rsidP="003B29B5">
      <w:pPr>
        <w:pStyle w:val="Heading2"/>
      </w:pPr>
      <w:bookmarkStart w:id="18" w:name="_Toc408904304"/>
      <w:bookmarkStart w:id="19" w:name="_Toc11764643"/>
      <w:bookmarkStart w:id="20" w:name="_Toc11828353"/>
      <w:r w:rsidRPr="003B29B5">
        <w:t>Acquisition Objectives</w:t>
      </w:r>
      <w:bookmarkEnd w:id="18"/>
      <w:bookmarkEnd w:id="19"/>
      <w:bookmarkEnd w:id="20"/>
    </w:p>
    <w:p w14:paraId="740FF995" w14:textId="6F2BB787" w:rsidR="00892D73" w:rsidRDefault="00892D73" w:rsidP="003B29B5">
      <w:pPr>
        <w:rPr>
          <w:rFonts w:eastAsia="Calibri"/>
        </w:rPr>
      </w:pPr>
      <w:r w:rsidRPr="00324D5F">
        <w:rPr>
          <w:rFonts w:eastAsia="Calibri"/>
        </w:rPr>
        <w:t xml:space="preserve">The purpose of this contract is to acquire specialized technical support services to support the implementation and enforcement of cybersecurity requirements for the systems, applications, databases, computing environments and other supporting IT in the Office of the Chief Financial Officer (OCFO). </w:t>
      </w:r>
    </w:p>
    <w:p w14:paraId="294FA033" w14:textId="77777777" w:rsidR="003B29B5" w:rsidRDefault="00892D73" w:rsidP="003B29B5">
      <w:pPr>
        <w:pStyle w:val="Heading2"/>
      </w:pPr>
      <w:bookmarkStart w:id="21" w:name="_Toc408904305"/>
      <w:bookmarkStart w:id="22" w:name="_Toc11764644"/>
      <w:bookmarkStart w:id="23" w:name="_Toc11828354"/>
      <w:r w:rsidRPr="003B29B5">
        <w:t>Contractor Responsibilities</w:t>
      </w:r>
      <w:bookmarkEnd w:id="21"/>
      <w:bookmarkEnd w:id="22"/>
      <w:bookmarkEnd w:id="23"/>
    </w:p>
    <w:p w14:paraId="1F30A34A" w14:textId="6EC18EA1" w:rsidR="00892D73" w:rsidRPr="00952416" w:rsidRDefault="00892D73" w:rsidP="00F06CCA">
      <w:r w:rsidRPr="00952416">
        <w:rPr>
          <w:spacing w:val="1"/>
        </w:rPr>
        <w:t>S</w:t>
      </w:r>
      <w:r w:rsidRPr="00952416">
        <w:t>upport services provid</w:t>
      </w:r>
      <w:r w:rsidRPr="00952416">
        <w:rPr>
          <w:spacing w:val="1"/>
        </w:rPr>
        <w:t>e</w:t>
      </w:r>
      <w:r w:rsidRPr="00952416">
        <w:t xml:space="preserve">d </w:t>
      </w:r>
      <w:r w:rsidRPr="00952416">
        <w:rPr>
          <w:spacing w:val="2"/>
        </w:rPr>
        <w:t>b</w:t>
      </w:r>
      <w:r w:rsidRPr="00952416">
        <w:t>y</w:t>
      </w:r>
      <w:r w:rsidRPr="00952416">
        <w:rPr>
          <w:spacing w:val="-5"/>
        </w:rPr>
        <w:t xml:space="preserve"> </w:t>
      </w:r>
      <w:r w:rsidRPr="00952416">
        <w:t xml:space="preserve">this acquisition include project management, consulting, administrative, and technical in support of the performance objectives in Section 4 of this PWS. </w:t>
      </w:r>
    </w:p>
    <w:p w14:paraId="7E8EF8DA" w14:textId="05C744AB" w:rsidR="003B29B5" w:rsidRPr="003B29B5" w:rsidRDefault="00892D73" w:rsidP="003B29B5">
      <w:pPr>
        <w:pStyle w:val="Heading3"/>
      </w:pPr>
      <w:bookmarkStart w:id="24" w:name="_Toc408904306"/>
      <w:bookmarkStart w:id="25" w:name="_Toc3906589"/>
      <w:bookmarkStart w:id="26" w:name="_Toc11828355"/>
      <w:bookmarkStart w:id="27" w:name="_Toc11764645"/>
      <w:r w:rsidRPr="003B29B5">
        <w:rPr>
          <w:rStyle w:val="Heading3Char"/>
          <w:b/>
        </w:rPr>
        <w:t>Principle Place of Performance</w:t>
      </w:r>
      <w:bookmarkEnd w:id="24"/>
      <w:bookmarkEnd w:id="25"/>
      <w:bookmarkEnd w:id="26"/>
    </w:p>
    <w:p w14:paraId="0D3C203B" w14:textId="77777777" w:rsidR="003B29B5" w:rsidRDefault="00892D73" w:rsidP="00F06CCA">
      <w:r w:rsidRPr="00ED25B6">
        <w:t>The principle place of performance is the XXX, and the current office locations are the &lt;LOCATIONS&gt;.</w:t>
      </w:r>
      <w:r w:rsidR="00F06CCA">
        <w:t xml:space="preserve"> </w:t>
      </w:r>
      <w:r w:rsidRPr="00ED25B6">
        <w:t>The Government may change the office location at its discretion.</w:t>
      </w:r>
      <w:r w:rsidR="00F06CCA">
        <w:t xml:space="preserve"> </w:t>
      </w:r>
      <w:r w:rsidRPr="00ED25B6">
        <w:br/>
        <w:t>All Key Personnel must work onsite at the XXX or other designated site in the XXX Metropolitan area, as agreed upon by &lt;AGENCY&gt;.</w:t>
      </w:r>
      <w:bookmarkStart w:id="28" w:name="_Toc408904307"/>
      <w:bookmarkStart w:id="29" w:name="_Toc11764646"/>
      <w:bookmarkEnd w:id="27"/>
    </w:p>
    <w:p w14:paraId="4ACDCD37" w14:textId="1025CEB8" w:rsidR="003B29B5" w:rsidRDefault="00892D73" w:rsidP="003B29B5">
      <w:pPr>
        <w:pStyle w:val="Heading3"/>
        <w:rPr>
          <w:rStyle w:val="Heading1Char"/>
        </w:rPr>
      </w:pPr>
      <w:bookmarkStart w:id="30" w:name="_Toc11828356"/>
      <w:r w:rsidRPr="003B29B5">
        <w:t>Government-Furnished Property and Data</w:t>
      </w:r>
      <w:bookmarkEnd w:id="28"/>
      <w:bookmarkEnd w:id="29"/>
      <w:bookmarkEnd w:id="30"/>
    </w:p>
    <w:p w14:paraId="4AFFEE25" w14:textId="4F92B8F1" w:rsidR="00892D73" w:rsidRDefault="00B06521" w:rsidP="00F06CCA">
      <w:r>
        <w:t>W</w:t>
      </w:r>
      <w:r w:rsidR="00892D73" w:rsidRPr="00B06521">
        <w:t>ill provide office space, computers and other required information technology hardware and software, office furniture, telephones, cell phones (on an as-needed basis) and office supplies at the XXX locations.</w:t>
      </w:r>
      <w:r w:rsidR="00F06CCA">
        <w:t xml:space="preserve"> </w:t>
      </w:r>
      <w:r w:rsidR="00892D73" w:rsidRPr="00B06521">
        <w:t xml:space="preserve">may provide office space at other buildings in the XXX Metropolitan </w:t>
      </w:r>
      <w:proofErr w:type="gramStart"/>
      <w:r w:rsidR="00892D73" w:rsidRPr="00B06521">
        <w:t>area, if</w:t>
      </w:r>
      <w:proofErr w:type="gramEnd"/>
      <w:r w:rsidR="00892D73" w:rsidRPr="00B06521">
        <w:t xml:space="preserve"> office space is available and a need exists. Some travel may be required.</w:t>
      </w:r>
    </w:p>
    <w:p w14:paraId="2EE93F1D" w14:textId="4D75F17D" w:rsidR="003B29B5" w:rsidRPr="003B29B5" w:rsidRDefault="00892D73" w:rsidP="003B29B5">
      <w:pPr>
        <w:pStyle w:val="Heading3"/>
      </w:pPr>
      <w:bookmarkStart w:id="31" w:name="_Toc408904308"/>
      <w:bookmarkStart w:id="32" w:name="_Toc11828357"/>
      <w:bookmarkStart w:id="33" w:name="_Toc11764647"/>
      <w:r w:rsidRPr="003B29B5">
        <w:lastRenderedPageBreak/>
        <w:t>Telework and Flexi-place – Situational, Temporary or Permanent</w:t>
      </w:r>
      <w:bookmarkEnd w:id="31"/>
      <w:bookmarkEnd w:id="32"/>
    </w:p>
    <w:p w14:paraId="5233CAB8" w14:textId="77777777" w:rsidR="003B29B5" w:rsidRDefault="00892D73" w:rsidP="00F06CCA">
      <w:r w:rsidRPr="006E1407">
        <w:t xml:space="preserve">Depending on the nature of the work, and with concurrence of, the Contractor may allow certain Non-Key individuals to work remotely, via telework, on a situational, </w:t>
      </w:r>
      <w:proofErr w:type="gramStart"/>
      <w:r w:rsidRPr="006E1407">
        <w:t>temporary</w:t>
      </w:r>
      <w:proofErr w:type="gramEnd"/>
      <w:r w:rsidRPr="006E1407">
        <w:t xml:space="preserve"> or permanent basis.</w:t>
      </w:r>
    </w:p>
    <w:p w14:paraId="2ED26A33" w14:textId="77777777" w:rsidR="003B29B5" w:rsidRDefault="00892D73" w:rsidP="00F06CCA">
      <w:r w:rsidRPr="006E1407">
        <w:t xml:space="preserve">Each Contractor employee authorized to telework shall comply with </w:t>
      </w:r>
      <w:proofErr w:type="gramStart"/>
      <w:r w:rsidRPr="006E1407">
        <w:t>all of</w:t>
      </w:r>
      <w:proofErr w:type="gramEnd"/>
      <w:r w:rsidRPr="006E1407">
        <w:t xml:space="preserve"> the following conditions:</w:t>
      </w:r>
      <w:bookmarkEnd w:id="33"/>
      <w:r w:rsidRPr="006E1407">
        <w:t xml:space="preserve"> </w:t>
      </w:r>
    </w:p>
    <w:p w14:paraId="5DC8D0FB" w14:textId="75288710" w:rsidR="00892D73" w:rsidRPr="006E1407" w:rsidRDefault="00892D73" w:rsidP="00F06CCA">
      <w:r w:rsidRPr="006E1407">
        <w:t xml:space="preserve">Use only a secure computer/laptop with all necessary software and hardware when teleworking from home or some other alternate work location. </w:t>
      </w:r>
      <w:r w:rsidRPr="006E1407">
        <w:br/>
        <w:t>Perform services under this PWS as a teleworker and understand that the teleworking arrangement is a work alternative that must be requested and approved by the COR and the Contractor’s Project Manager prior to beginning a telework assignment.</w:t>
      </w:r>
    </w:p>
    <w:p w14:paraId="12A390AD" w14:textId="77777777" w:rsidR="00892D73" w:rsidRPr="006E1407" w:rsidRDefault="00892D73" w:rsidP="00F06CCA">
      <w:r w:rsidRPr="006E1407">
        <w:t xml:space="preserve">Retain the same duties, obligations, and responsibilities assigned under this acquisition without change throughout the telework schedule. </w:t>
      </w:r>
    </w:p>
    <w:p w14:paraId="09695D23" w14:textId="77777777" w:rsidR="00892D73" w:rsidRPr="006E1407" w:rsidRDefault="00892D73" w:rsidP="00F06CCA">
      <w:r w:rsidRPr="006E1407">
        <w:t xml:space="preserve">Conform with the teleworker’s work schedule, overtime compensation (if any), leave, and other terms and conditions of employment with his/her employer as specified in the Contractor’s current collective bargaining agreement or personnel policy, as applicable, and meet the terms agreed upon with the Contractor’s Program Manager. </w:t>
      </w:r>
    </w:p>
    <w:p w14:paraId="29C2E5AA" w14:textId="77777777" w:rsidR="00892D73" w:rsidRPr="006E1407" w:rsidRDefault="00892D73" w:rsidP="00F06CCA">
      <w:r w:rsidRPr="006E1407">
        <w:t xml:space="preserve">Develop an effective communications strategy with the Contractor’s Program Manager and work group, including required meetings held at the; and follow that approved strategy throughout the telework schedule. </w:t>
      </w:r>
    </w:p>
    <w:p w14:paraId="302836E0" w14:textId="77777777" w:rsidR="00892D73" w:rsidRPr="006E1407" w:rsidRDefault="00892D73" w:rsidP="00F06CCA">
      <w:r w:rsidRPr="006E1407">
        <w:t xml:space="preserve">Designate the Contractor employee’s home or some other alternate work location as the Contractor employee’s official telework location, subject to approval by the Contractor’s Program Manager. </w:t>
      </w:r>
    </w:p>
    <w:p w14:paraId="283E94EA" w14:textId="77777777" w:rsidR="00892D73" w:rsidRPr="006E1407" w:rsidRDefault="00892D73" w:rsidP="00F06CCA">
      <w:r w:rsidRPr="006E1407">
        <w:t xml:space="preserve">Acknowledge that teleworking is not an entitlement and may be terminated by the COR or the Contractor’s Program Manager at any time. </w:t>
      </w:r>
    </w:p>
    <w:p w14:paraId="4C22C145" w14:textId="77777777" w:rsidR="00892D73" w:rsidRPr="006E1407" w:rsidRDefault="00892D73" w:rsidP="00F06CCA">
      <w:r w:rsidRPr="006E1407">
        <w:t xml:space="preserve">Return any Government-furnished telework equipment, software, data, and supplies upon termination of the telework assignment or upon separation from this acquisition for any reason. </w:t>
      </w:r>
    </w:p>
    <w:p w14:paraId="51745B1C" w14:textId="77777777" w:rsidR="00892D73" w:rsidRPr="006E1407" w:rsidRDefault="00892D73" w:rsidP="00F06CCA">
      <w:r w:rsidRPr="006E1407">
        <w:t xml:space="preserve">Immediately notify the Contractor’s Program Manager of any equipment malfunction and the impact of the malfunction upon the teleworker’s ability to continue the telework assignment; and obtain instructions from the Contractor’s Program Manager about working at another alternate work location. </w:t>
      </w:r>
    </w:p>
    <w:p w14:paraId="390F8E12" w14:textId="77777777" w:rsidR="00892D73" w:rsidRPr="006E1407" w:rsidRDefault="00892D73" w:rsidP="00F06CCA">
      <w:r w:rsidRPr="006E1407">
        <w:t xml:space="preserve">Be responsible for the maintenance and repair of all the teleworker’s personal property, and for maintaining appropriate insurance coverage against loss or theft for all Government-furnished equipment/supplies in the possession of the teleworker. </w:t>
      </w:r>
    </w:p>
    <w:p w14:paraId="7B1CA352" w14:textId="77777777" w:rsidR="00892D73" w:rsidRPr="006E1407" w:rsidRDefault="00892D73" w:rsidP="00F06CCA">
      <w:r w:rsidRPr="006E1407">
        <w:lastRenderedPageBreak/>
        <w:t xml:space="preserve">Acknowledge that all work products, including documents, reports, and data created as a result of the teleworker’s work-related activities are owned by the Government and shall be properly secured and returned to the Government as instructed by the Contractor’s Program Manager. </w:t>
      </w:r>
    </w:p>
    <w:p w14:paraId="653D8D0E" w14:textId="77777777" w:rsidR="003B29B5" w:rsidRDefault="00892D73" w:rsidP="00F06CCA">
      <w:r w:rsidRPr="006E1407">
        <w:t>Acknowledge receipt and compliance with the technology guidelines for securing equipment for telework assignments.</w:t>
      </w:r>
    </w:p>
    <w:p w14:paraId="5431065C" w14:textId="77777777" w:rsidR="003B29B5" w:rsidRDefault="00892D73" w:rsidP="00F06CCA">
      <w:r w:rsidRPr="006E1407">
        <w:t xml:space="preserve">Acknowledge receipt and compliance with Information, Physical Access, and Personal Identity Information (PII) Security provisions applicable to the acquisition. </w:t>
      </w:r>
    </w:p>
    <w:p w14:paraId="2A43ED64" w14:textId="77777777" w:rsidR="003B29B5" w:rsidRDefault="00892D73" w:rsidP="00F06CCA">
      <w:r w:rsidRPr="006E1407">
        <w:t xml:space="preserve">Acknowledge that the Contractor employee’s approved telework location is considered an extension of the Contractor’s worksite. </w:t>
      </w:r>
    </w:p>
    <w:p w14:paraId="52C00E3A" w14:textId="2EB67F71" w:rsidR="003B29B5" w:rsidRDefault="00892D73" w:rsidP="00F06CCA">
      <w:r w:rsidRPr="006E1407">
        <w:t>Under special circumstances other than a Government closure, the COR and the Contractor’s Program Manager may authorize a Contractor employee to telework under the above conditions.</w:t>
      </w:r>
      <w:bookmarkStart w:id="34" w:name="_Toc408904309"/>
      <w:bookmarkStart w:id="35" w:name="_Toc11764648"/>
    </w:p>
    <w:p w14:paraId="5F95A346" w14:textId="0D1D8857" w:rsidR="00892D73" w:rsidRPr="006E1407" w:rsidRDefault="00892D73" w:rsidP="003B29B5">
      <w:pPr>
        <w:pStyle w:val="Heading3"/>
      </w:pPr>
      <w:bookmarkStart w:id="36" w:name="_Toc11828358"/>
      <w:r w:rsidRPr="003B29B5">
        <w:t>Teleworking During a Government Closure</w:t>
      </w:r>
      <w:bookmarkEnd w:id="34"/>
      <w:bookmarkEnd w:id="35"/>
      <w:bookmarkEnd w:id="36"/>
    </w:p>
    <w:p w14:paraId="18AD3B1C" w14:textId="77777777" w:rsidR="003B29B5" w:rsidRDefault="00892D73" w:rsidP="00F06CCA">
      <w:r w:rsidRPr="00F825A4">
        <w:t>During a period of Government closure, a Contractor employee with a secure computer/laptop must telework from home or some other alternate work location (including the Contractor’s facility) that is not a “Federally-controlled facility”, provided that approval has been received from the COR and the Contractor’s Program Manager. Since teleworking will be authorized only as a short</w:t>
      </w:r>
      <w:r w:rsidR="00B1246C">
        <w:t>-</w:t>
      </w:r>
      <w:r w:rsidRPr="00F825A4">
        <w:t xml:space="preserve">term remedy to </w:t>
      </w:r>
      <w:proofErr w:type="gramStart"/>
      <w:r w:rsidRPr="00F825A4">
        <w:t>an emergency situation</w:t>
      </w:r>
      <w:proofErr w:type="gramEnd"/>
      <w:r w:rsidRPr="00F825A4">
        <w:t>, the Contractor agrees that there will be no additional charges to the Government. The Contractor shall provide the Government with a copy of their employee established telework</w:t>
      </w:r>
      <w:r w:rsidR="00F825A4">
        <w:t xml:space="preserve"> </w:t>
      </w:r>
      <w:r w:rsidRPr="00F825A4">
        <w:t xml:space="preserve">agreements. </w:t>
      </w:r>
    </w:p>
    <w:p w14:paraId="575072C5" w14:textId="77777777" w:rsidR="003B29B5" w:rsidRDefault="00892D73" w:rsidP="00F06CCA">
      <w:r w:rsidRPr="00F825A4">
        <w:t>All Contractor employees teleworking during Government closure must comply with the same conditions listed in Section 3.2.3 above.</w:t>
      </w:r>
      <w:bookmarkStart w:id="37" w:name="_Toc408904310"/>
      <w:bookmarkStart w:id="38" w:name="_Toc11764649"/>
    </w:p>
    <w:p w14:paraId="311C6D62" w14:textId="216D1F0D" w:rsidR="00892D73" w:rsidRPr="00F825A4" w:rsidRDefault="00892D73" w:rsidP="003B29B5">
      <w:pPr>
        <w:pStyle w:val="Heading3"/>
      </w:pPr>
      <w:bookmarkStart w:id="39" w:name="_Toc11828359"/>
      <w:r w:rsidRPr="003B29B5">
        <w:t>Continuity of Operations During a Government Closure</w:t>
      </w:r>
      <w:bookmarkEnd w:id="37"/>
      <w:bookmarkEnd w:id="38"/>
      <w:bookmarkEnd w:id="39"/>
    </w:p>
    <w:p w14:paraId="2C60093C" w14:textId="77777777" w:rsidR="003B29B5" w:rsidRDefault="00892D73" w:rsidP="00F06CCA">
      <w:r w:rsidRPr="00F825A4">
        <w:t xml:space="preserve">The Contractor shall submit a plan entitled Continuity of Operations During a Government Closure to the COR for approval within 20 calendar days following an instruction from the COR to do so. The plan shall sufficiently specify what work tasks would be performed at non-Government location(s) (i.e., not a “Federally-controlled facility”) during a closure and which Contractor employees would be authorized to telework. </w:t>
      </w:r>
    </w:p>
    <w:p w14:paraId="455F482D" w14:textId="773AF899" w:rsidR="00892D73" w:rsidRPr="00F825A4" w:rsidRDefault="00892D73" w:rsidP="00F06CCA">
      <w:r w:rsidRPr="00F825A4">
        <w:t>The Contractor shall implement its approved Continuity of Operations During a Government Closure plan when directed by the COR.</w:t>
      </w:r>
    </w:p>
    <w:p w14:paraId="6F3A33BE" w14:textId="724CE8BF" w:rsidR="003B29B5" w:rsidRDefault="00892D73" w:rsidP="003B29B5">
      <w:pPr>
        <w:pStyle w:val="Heading3"/>
        <w:rPr>
          <w:rStyle w:val="Heading1Char"/>
        </w:rPr>
      </w:pPr>
      <w:bookmarkStart w:id="40" w:name="_Toc408904311"/>
      <w:bookmarkStart w:id="41" w:name="_Toc11828360"/>
      <w:bookmarkStart w:id="42" w:name="_Toc11764650"/>
      <w:r w:rsidRPr="003B29B5">
        <w:t>Security Clearances</w:t>
      </w:r>
      <w:bookmarkEnd w:id="40"/>
      <w:bookmarkEnd w:id="41"/>
    </w:p>
    <w:p w14:paraId="20CF43E5" w14:textId="77777777" w:rsidR="003B29B5" w:rsidRDefault="00892D73" w:rsidP="00F06CCA">
      <w:r w:rsidRPr="00891B56">
        <w:lastRenderedPageBreak/>
        <w:t>All personnel supporting this contract must obtain a public trust high determination.</w:t>
      </w:r>
      <w:bookmarkEnd w:id="42"/>
      <w:r>
        <w:t xml:space="preserve"> </w:t>
      </w:r>
      <w:bookmarkStart w:id="43" w:name="_Toc11764651"/>
    </w:p>
    <w:p w14:paraId="6F53378F" w14:textId="6EA6AEFB" w:rsidR="00892D73" w:rsidRPr="00891B56" w:rsidRDefault="00892D73" w:rsidP="003B29B5">
      <w:pPr>
        <w:pStyle w:val="Heading3"/>
      </w:pPr>
      <w:bookmarkStart w:id="44" w:name="_Toc11828361"/>
      <w:r w:rsidRPr="003B29B5">
        <w:t>Segregation of Duties</w:t>
      </w:r>
      <w:bookmarkEnd w:id="43"/>
      <w:bookmarkEnd w:id="44"/>
    </w:p>
    <w:p w14:paraId="441EA1C7" w14:textId="77777777" w:rsidR="003B29B5" w:rsidRDefault="00892D73" w:rsidP="00F06CCA">
      <w:r w:rsidRPr="00891B56">
        <w:t xml:space="preserve">The Contractor must ensure that the security control assessments are completed per Federal and cybersecurity guidelines. To support the integrity of these assessments, a segregation of duties will be required for the individuals assigned to the security control assessment and vulnerability scanning services tasks within this cybersecurity support services task order. </w:t>
      </w:r>
      <w:bookmarkStart w:id="45" w:name="_Toc11764652"/>
    </w:p>
    <w:p w14:paraId="7210C366" w14:textId="3E1EF15F" w:rsidR="00892D73" w:rsidRPr="00891B56" w:rsidRDefault="00892D73" w:rsidP="00F06CCA">
      <w:bookmarkStart w:id="46" w:name="_Toc11828362"/>
      <w:r w:rsidRPr="00ED25B6">
        <w:rPr>
          <w:rStyle w:val="Heading3Char"/>
        </w:rPr>
        <w:t xml:space="preserve">3.2.8 </w:t>
      </w:r>
      <w:r w:rsidR="00891B56" w:rsidRPr="00ED25B6">
        <w:rPr>
          <w:rStyle w:val="Heading3Char"/>
        </w:rPr>
        <w:tab/>
      </w:r>
      <w:r w:rsidRPr="00ED25B6">
        <w:rPr>
          <w:rStyle w:val="Heading3Char"/>
        </w:rPr>
        <w:t>Contract Type</w:t>
      </w:r>
      <w:bookmarkEnd w:id="45"/>
      <w:bookmarkEnd w:id="46"/>
    </w:p>
    <w:p w14:paraId="13B7F146" w14:textId="484071E8" w:rsidR="00892D73" w:rsidRDefault="00892D73" w:rsidP="00F06CCA">
      <w:r w:rsidRPr="00843C09">
        <w:t>The contract type for this contract will be Time and Materials.</w:t>
      </w:r>
    </w:p>
    <w:p w14:paraId="349858CB" w14:textId="77777777" w:rsidR="003B29B5" w:rsidRPr="003B29B5" w:rsidRDefault="00892D73" w:rsidP="003B29B5">
      <w:pPr>
        <w:pStyle w:val="Heading1"/>
        <w:rPr>
          <w:rFonts w:eastAsia="Calibri"/>
        </w:rPr>
      </w:pPr>
      <w:bookmarkStart w:id="47" w:name="_Toc11764653"/>
      <w:bookmarkStart w:id="48" w:name="_Toc11828363"/>
      <w:r w:rsidRPr="00ED25B6">
        <w:t>CYBER SECURITY SUPPORT SERVICES</w:t>
      </w:r>
      <w:bookmarkEnd w:id="47"/>
      <w:bookmarkEnd w:id="48"/>
    </w:p>
    <w:p w14:paraId="7E7C37C4" w14:textId="5E77CA4A" w:rsidR="00892D73" w:rsidRPr="00D94805" w:rsidRDefault="00892D73" w:rsidP="003B29B5">
      <w:pPr>
        <w:rPr>
          <w:rFonts w:eastAsia="Calibri"/>
        </w:rPr>
      </w:pPr>
      <w:r w:rsidRPr="00D94805">
        <w:rPr>
          <w:rFonts w:eastAsia="Calibri"/>
        </w:rPr>
        <w:t xml:space="preserve">The Contractor shall provide cybersecurity technical expertise of NIST, and federal regulations, directives, and guidelines to the OCFO. This includes all aspects of a system’s security life cycle, from developing and maintaining Assessment and Authorization (A&amp;A) documentation to performing independent validation and verification of controls to on-going operational security support. </w:t>
      </w:r>
    </w:p>
    <w:p w14:paraId="4D841E92" w14:textId="6D27C39C" w:rsidR="00892D73" w:rsidRPr="00D94805" w:rsidRDefault="000D7678" w:rsidP="00F06CCA">
      <w:pPr>
        <w:rPr>
          <w:rFonts w:eastAsia="Calibri"/>
        </w:rPr>
      </w:pPr>
      <w:r>
        <w:rPr>
          <w:rFonts w:eastAsia="Calibri"/>
        </w:rPr>
        <w:t>T</w:t>
      </w:r>
      <w:r w:rsidR="00892D73" w:rsidRPr="00D94805">
        <w:rPr>
          <w:rFonts w:eastAsia="Calibri"/>
        </w:rPr>
        <w:t>he Contractor shall update and maintain the OCFO Risk Management Framework to current standards, guidelines, and approaches. The Contractor shall ensure that the OCFO’s cyber security program adheres to Federal (NIST, OMB, DHS, &lt;AGENCY&gt; etc.), executive orders, national security directives, and other regulations.</w:t>
      </w:r>
    </w:p>
    <w:p w14:paraId="6641354E" w14:textId="15B10117" w:rsidR="00892D73" w:rsidRPr="00D94805" w:rsidRDefault="00892D73" w:rsidP="00F06CCA">
      <w:pPr>
        <w:rPr>
          <w:rFonts w:eastAsia="Calibri"/>
        </w:rPr>
      </w:pPr>
      <w:r w:rsidRPr="00D94805">
        <w:rPr>
          <w:rFonts w:eastAsia="Calibri"/>
        </w:rPr>
        <w:t>The Contractor shall coordinate with the OCFO systems owners to prepare, update, and maintain the necessary system security documentation for assessment and accreditation activities. The Contractor shall create/update/maintain templates to support the effective and efficient security documentation practices.</w:t>
      </w:r>
    </w:p>
    <w:p w14:paraId="14CF5558" w14:textId="0D46164C" w:rsidR="00892D73" w:rsidRDefault="00892D73" w:rsidP="00F06CCA">
      <w:pPr>
        <w:rPr>
          <w:rFonts w:eastAsia="Calibri"/>
        </w:rPr>
      </w:pPr>
      <w:r w:rsidRPr="00AE2AB6">
        <w:rPr>
          <w:rFonts w:eastAsia="Calibri"/>
        </w:rPr>
        <w:t xml:space="preserve">The Contractor shall conduct an independent security assessment of security controls for OCFO systems through interviews, document reviews, and testing of the system to ensure that appropriate controls are in place and operating as designed and intended. Assessments must be performed by qualified personnel, include thorough </w:t>
      </w:r>
      <w:proofErr w:type="gramStart"/>
      <w:r w:rsidRPr="00AE2AB6">
        <w:rPr>
          <w:rFonts w:eastAsia="Calibri"/>
        </w:rPr>
        <w:t>analysis</w:t>
      </w:r>
      <w:proofErr w:type="gramEnd"/>
      <w:r w:rsidRPr="00AE2AB6">
        <w:rPr>
          <w:rFonts w:eastAsia="Calibri"/>
        </w:rPr>
        <w:t xml:space="preserve"> and be accomplished in accordance with the OCFO Risk Management Framework, current NIST regulations, and other required and federal standards and regulations. Based on the makeup of the environments, servers, network devices, operating systems, application software, web servers and database servers, the Contractor shall identify the applicable NIST and other security guidelines and perform security evaluations. The Contractor must obtain Government approval on the applicability of external standards and the testing approach before they proceed. The assessment approach for OCFO systems is as follows:</w:t>
      </w:r>
    </w:p>
    <w:p w14:paraId="7109C770" w14:textId="608A5FA5" w:rsidR="00892D73" w:rsidRDefault="00892D73" w:rsidP="00F06CCA">
      <w:pPr>
        <w:pStyle w:val="ListParagraph"/>
        <w:numPr>
          <w:ilvl w:val="1"/>
          <w:numId w:val="6"/>
        </w:numPr>
        <w:rPr>
          <w:rFonts w:eastAsia="Calibri"/>
        </w:rPr>
      </w:pPr>
      <w:r w:rsidRPr="005B1C08">
        <w:rPr>
          <w:rFonts w:eastAsia="Calibri"/>
        </w:rPr>
        <w:t xml:space="preserve">Assessed for compliance to the NIST moderate or low baselines. </w:t>
      </w:r>
    </w:p>
    <w:p w14:paraId="1F3515EA" w14:textId="77777777" w:rsidR="00892D73" w:rsidRPr="005B1C08" w:rsidRDefault="00892D73" w:rsidP="00F06CCA">
      <w:pPr>
        <w:pStyle w:val="ListParagraph"/>
        <w:numPr>
          <w:ilvl w:val="1"/>
          <w:numId w:val="6"/>
        </w:numPr>
        <w:rPr>
          <w:rFonts w:eastAsia="Calibri"/>
        </w:rPr>
      </w:pPr>
      <w:r w:rsidRPr="005B1C08">
        <w:rPr>
          <w:rFonts w:eastAsia="Calibri"/>
        </w:rPr>
        <w:lastRenderedPageBreak/>
        <w:t>Each year approximately, a third of the controls are assessed ensuring that all controls are assessed at least once every three year to support an authorization to operate.</w:t>
      </w:r>
    </w:p>
    <w:p w14:paraId="3446084F" w14:textId="699738E5" w:rsidR="00892D73" w:rsidRPr="003B29B5" w:rsidRDefault="00892D73" w:rsidP="003B29B5">
      <w:pPr>
        <w:rPr>
          <w:rFonts w:eastAsia="Calibri"/>
        </w:rPr>
      </w:pPr>
      <w:r w:rsidRPr="004339F3">
        <w:rPr>
          <w:rFonts w:eastAsia="Calibri"/>
        </w:rPr>
        <w:t>The Contractor shall coordinate and conduct web application vulnerability assessment scanning on OCFO systems. The Contractor shall perform thorough analysis of the results and provide industry standard recommendations in the form of vulnerability scan reports. The Contractor shall coordinate with the system owner and teams to validate false positives. The Contractor shall provide a monthly vulnerability report to track the status of all vulnerabilities for OCFO systems. The Contractor shall coordinate with other scanning teams (infrastructure and database) to collect, correlate, and consolidate scan results. The overall scan results shall be presented on a vulnerability dashboard. The Contractor shall stay abreast of current security vulnerabilities and potential implications to the OCFO systems and inform OCFO of potential security threats to the systems and provide thorough analysis and industry standard recommendations on how to resolve or mitigate the threats introduced by the vulnerabilities.</w:t>
      </w:r>
    </w:p>
    <w:p w14:paraId="7DB99F47" w14:textId="2D07A747" w:rsidR="00892D73" w:rsidRPr="000D7678" w:rsidRDefault="00892D73" w:rsidP="00F06CCA">
      <w:pPr>
        <w:rPr>
          <w:rFonts w:eastAsia="Calibri"/>
        </w:rPr>
      </w:pPr>
      <w:r w:rsidRPr="000D7678">
        <w:rPr>
          <w:rFonts w:eastAsia="Calibri"/>
        </w:rPr>
        <w:t xml:space="preserve">The Contractor shall provide expert analysis and recommendations on risk (to include impact and likelihood) and mitigation options for security findings, </w:t>
      </w:r>
      <w:proofErr w:type="gramStart"/>
      <w:r w:rsidRPr="000D7678">
        <w:rPr>
          <w:rFonts w:eastAsia="Calibri"/>
        </w:rPr>
        <w:t>gaps</w:t>
      </w:r>
      <w:proofErr w:type="gramEnd"/>
      <w:r w:rsidRPr="000D7678">
        <w:rPr>
          <w:rFonts w:eastAsia="Calibri"/>
        </w:rPr>
        <w:t xml:space="preserve"> and vulnerabilities. This includes developing appropriate responses to audit report findings. If risks cannot be resolved, the Contractor shall work with the ISSM, and system owner to develop a Deviation Waiver Request (Risk Acceptance) based on thorough analysis and industry standards identifying the risk, impact/threat if exploited, existing countermeasures, risk level</w:t>
      </w:r>
      <w:r w:rsidR="00951162" w:rsidRPr="000D7678">
        <w:rPr>
          <w:rFonts w:eastAsia="Calibri"/>
        </w:rPr>
        <w:t>,</w:t>
      </w:r>
      <w:r w:rsidRPr="000D7678">
        <w:rPr>
          <w:rFonts w:eastAsia="Calibri"/>
        </w:rPr>
        <w:t xml:space="preserve"> and reason/justification for risk.</w:t>
      </w:r>
    </w:p>
    <w:p w14:paraId="57E26D62" w14:textId="4B10EC62" w:rsidR="00892D73" w:rsidRPr="009D0FBF" w:rsidRDefault="00892D73" w:rsidP="00F06CCA">
      <w:pPr>
        <w:rPr>
          <w:rFonts w:eastAsia="Calibri"/>
        </w:rPr>
      </w:pPr>
      <w:r w:rsidRPr="009D0FBF">
        <w:rPr>
          <w:rFonts w:eastAsia="Calibri"/>
        </w:rPr>
        <w:t>The Contractor shall update and maintain the OCFO continuous monitoring program. This includes identifying and implementing continuous monitoring mechanisms, strategies, and approaches. The Contractor shall provide and maintain a catalog of all</w:t>
      </w:r>
      <w:r w:rsidR="00951162">
        <w:rPr>
          <w:rFonts w:eastAsia="Calibri"/>
        </w:rPr>
        <w:t xml:space="preserve"> c</w:t>
      </w:r>
      <w:r w:rsidRPr="009D0FBF">
        <w:rPr>
          <w:rFonts w:eastAsia="Calibri"/>
        </w:rPr>
        <w:t xml:space="preserve">ontinuously monitored system security controls, monitoring frequency, </w:t>
      </w:r>
      <w:r w:rsidR="00951162">
        <w:rPr>
          <w:rFonts w:eastAsia="Calibri"/>
        </w:rPr>
        <w:t xml:space="preserve">and </w:t>
      </w:r>
      <w:r w:rsidRPr="009D0FBF">
        <w:rPr>
          <w:rFonts w:eastAsia="Calibri"/>
        </w:rPr>
        <w:t>monitoring approach (manual, automated etc.)</w:t>
      </w:r>
    </w:p>
    <w:p w14:paraId="0C051493" w14:textId="4521CC13" w:rsidR="00892D73" w:rsidRPr="009D0FBF" w:rsidRDefault="000D7678" w:rsidP="00F06CCA">
      <w:pPr>
        <w:rPr>
          <w:rFonts w:eastAsia="Calibri"/>
          <w:color w:val="000000"/>
        </w:rPr>
      </w:pPr>
      <w:r>
        <w:t>T</w:t>
      </w:r>
      <w:r w:rsidR="00892D73" w:rsidRPr="009D0FBF">
        <w:t xml:space="preserve">he Contractor shall provide a monthly Plan of Action and Milestones (POA&amp;M) report to track the status of all POA&amp;Ms for OCFO systems. If POA&amp;Ms are due within the month, the Contractor shall work with the POA&amp;M system owner to get resolution on the POA&amp;M item or if the POA&amp;M date needs to be extended, the Contractor shall require a valid justification from the POA&amp;M system owner. The Contractor shall track the history of each POA&amp;M to include the initial POA&amp;M information and any modifications to the POA&amp;M (i.e., justification(s) to the POA&amp;M date). </w:t>
      </w:r>
    </w:p>
    <w:p w14:paraId="3BE09BA0" w14:textId="2B2047D8" w:rsidR="00892D73" w:rsidRPr="00266605" w:rsidRDefault="00892D73" w:rsidP="00F06CCA">
      <w:pPr>
        <w:rPr>
          <w:rFonts w:eastAsia="Calibri"/>
          <w:color w:val="000000"/>
        </w:rPr>
      </w:pPr>
      <w:r w:rsidRPr="00266605">
        <w:t xml:space="preserve">The Contractor shall provide a quarterly software lifecycle report. The report should identify OCFO software components that are obsolete, end of life, or near end of life (within 18 months) based on information provided by the Department’s enterprise software lifecycle tool. Data provided by the tool should be augmented by manual research and review approaches to ensure adequate coverage for OCFO software components. </w:t>
      </w:r>
    </w:p>
    <w:p w14:paraId="671AED04" w14:textId="6A59BCD7" w:rsidR="00892D73" w:rsidRDefault="00892D73" w:rsidP="00F06CCA">
      <w:pPr>
        <w:rPr>
          <w:rFonts w:eastAsia="Calibri"/>
        </w:rPr>
      </w:pPr>
      <w:r w:rsidRPr="002471ED">
        <w:rPr>
          <w:rFonts w:eastAsia="Calibri"/>
        </w:rPr>
        <w:lastRenderedPageBreak/>
        <w:t>The Contractor shall maintain an up-to</w:t>
      </w:r>
      <w:r w:rsidR="003728C0">
        <w:rPr>
          <w:rFonts w:eastAsia="Calibri"/>
        </w:rPr>
        <w:t>-</w:t>
      </w:r>
      <w:r w:rsidRPr="002471ED">
        <w:rPr>
          <w:rFonts w:eastAsia="Calibri"/>
        </w:rPr>
        <w:t>date inventory of the following:</w:t>
      </w:r>
    </w:p>
    <w:p w14:paraId="1B9B498E" w14:textId="479A30C5" w:rsidR="002471ED" w:rsidRPr="003B29B5" w:rsidRDefault="00892D73" w:rsidP="003B29B5">
      <w:pPr>
        <w:pStyle w:val="ListParagraph"/>
        <w:numPr>
          <w:ilvl w:val="0"/>
          <w:numId w:val="12"/>
        </w:numPr>
        <w:rPr>
          <w:rFonts w:eastAsia="Calibri"/>
        </w:rPr>
      </w:pPr>
      <w:r w:rsidRPr="003B29B5">
        <w:rPr>
          <w:rFonts w:eastAsia="Calibri"/>
        </w:rPr>
        <w:t>OCFO IT assets to include application software, databases, and supporting hardware to include versions and life cycle status (current, retiring, end-of-life etc.)</w:t>
      </w:r>
    </w:p>
    <w:p w14:paraId="198B23FE" w14:textId="0B392C65" w:rsidR="00892D73" w:rsidRPr="003B29B5" w:rsidRDefault="00892D73" w:rsidP="003B29B5">
      <w:pPr>
        <w:pStyle w:val="ListParagraph"/>
        <w:numPr>
          <w:ilvl w:val="0"/>
          <w:numId w:val="6"/>
        </w:numPr>
        <w:rPr>
          <w:rFonts w:eastAsia="Calibri"/>
        </w:rPr>
      </w:pPr>
      <w:r w:rsidRPr="003B29B5">
        <w:rPr>
          <w:rFonts w:eastAsia="Calibri"/>
        </w:rPr>
        <w:t>Privileged access authorizations.</w:t>
      </w:r>
    </w:p>
    <w:p w14:paraId="09F093DB" w14:textId="68FAB75F" w:rsidR="00892D73" w:rsidRDefault="00892D73" w:rsidP="00247515">
      <w:pPr>
        <w:pStyle w:val="ListParagraph"/>
        <w:numPr>
          <w:ilvl w:val="1"/>
          <w:numId w:val="17"/>
        </w:numPr>
        <w:rPr>
          <w:rFonts w:eastAsia="Calibri"/>
        </w:rPr>
      </w:pPr>
      <w:r w:rsidRPr="002471ED">
        <w:rPr>
          <w:rFonts w:eastAsia="Calibri"/>
        </w:rPr>
        <w:t>Ports, protocols, and services.</w:t>
      </w:r>
    </w:p>
    <w:p w14:paraId="6D64DE18" w14:textId="77777777" w:rsidR="00892D73" w:rsidRPr="00B42653" w:rsidRDefault="00892D73" w:rsidP="00247515">
      <w:pPr>
        <w:pStyle w:val="ListParagraph"/>
        <w:numPr>
          <w:ilvl w:val="1"/>
          <w:numId w:val="17"/>
        </w:numPr>
        <w:rPr>
          <w:rFonts w:eastAsia="Calibri"/>
        </w:rPr>
      </w:pPr>
      <w:r w:rsidRPr="002471ED">
        <w:rPr>
          <w:rFonts w:eastAsia="Calibri"/>
        </w:rPr>
        <w:t>Firewall rules.</w:t>
      </w:r>
    </w:p>
    <w:p w14:paraId="64E29546" w14:textId="17F7C0BA" w:rsidR="00892D73" w:rsidRPr="00750A60" w:rsidRDefault="00892D73" w:rsidP="00F06CCA">
      <w:pPr>
        <w:rPr>
          <w:rFonts w:eastAsia="Calibri"/>
        </w:rPr>
      </w:pPr>
      <w:r w:rsidRPr="00750A60">
        <w:rPr>
          <w:rFonts w:eastAsia="Calibri"/>
        </w:rPr>
        <w:t>The Contractor shall prepare responses in support of ad-hoc and federal data</w:t>
      </w:r>
      <w:r w:rsidR="00750A60">
        <w:rPr>
          <w:rFonts w:eastAsia="Calibri"/>
        </w:rPr>
        <w:t xml:space="preserve"> </w:t>
      </w:r>
      <w:r w:rsidRPr="00750A60">
        <w:rPr>
          <w:rFonts w:eastAsia="Calibri"/>
        </w:rPr>
        <w:t>calls to include quarterly FISMA updates.</w:t>
      </w:r>
    </w:p>
    <w:p w14:paraId="1774266A" w14:textId="1BB2FAFC" w:rsidR="00892D73" w:rsidRPr="00750A60" w:rsidRDefault="000D7678" w:rsidP="00F06CCA">
      <w:pPr>
        <w:rPr>
          <w:rFonts w:eastAsia="Calibri"/>
        </w:rPr>
      </w:pPr>
      <w:r>
        <w:rPr>
          <w:rFonts w:eastAsia="Calibri"/>
        </w:rPr>
        <w:t>T</w:t>
      </w:r>
      <w:r w:rsidR="00892D73" w:rsidRPr="00750A60">
        <w:rPr>
          <w:rFonts w:eastAsia="Calibri"/>
        </w:rPr>
        <w:t>he Contractor shall support OCFO incident response activities. This includes analyzing, coordinating, tracking, and closing incidents. All incidents must be captured on the OCFO Incident Log.</w:t>
      </w:r>
    </w:p>
    <w:p w14:paraId="3A0EC865" w14:textId="60015F7D" w:rsidR="00892D73" w:rsidRPr="00750A60" w:rsidRDefault="000D7678" w:rsidP="00F06CCA">
      <w:pPr>
        <w:rPr>
          <w:rFonts w:eastAsia="Calibri"/>
        </w:rPr>
      </w:pPr>
      <w:r>
        <w:rPr>
          <w:rFonts w:eastAsia="Calibri"/>
        </w:rPr>
        <w:t>T</w:t>
      </w:r>
      <w:r w:rsidR="00892D73" w:rsidRPr="00750A60">
        <w:rPr>
          <w:rFonts w:eastAsia="Calibri"/>
        </w:rPr>
        <w:t xml:space="preserve">he Contractor shall create, update, </w:t>
      </w:r>
      <w:r w:rsidR="00750A60" w:rsidRPr="00750A60">
        <w:rPr>
          <w:rFonts w:eastAsia="Calibri"/>
        </w:rPr>
        <w:t xml:space="preserve">and </w:t>
      </w:r>
      <w:r w:rsidR="00892D73" w:rsidRPr="00750A60">
        <w:rPr>
          <w:rFonts w:eastAsia="Calibri"/>
        </w:rPr>
        <w:t>maintain processes and procedures for cybersecurity functions and activities. The documentation shall be centrally stored on the OCFO portal.</w:t>
      </w:r>
    </w:p>
    <w:p w14:paraId="544CD7B0" w14:textId="1D78284B" w:rsidR="00892D73" w:rsidRPr="00B97277" w:rsidRDefault="000D7678" w:rsidP="00F06CCA">
      <w:pPr>
        <w:rPr>
          <w:rFonts w:eastAsia="Calibri"/>
        </w:rPr>
      </w:pPr>
      <w:r>
        <w:rPr>
          <w:rFonts w:eastAsia="Calibri"/>
        </w:rPr>
        <w:t>T</w:t>
      </w:r>
      <w:r w:rsidR="00892D73" w:rsidRPr="00B97277">
        <w:rPr>
          <w:rFonts w:eastAsia="Calibri"/>
        </w:rPr>
        <w:t>he Contractor shall stay abreast of OCFO system change management activities and perform security testing and thorough analysis to ensure that none of the changes/modifications/updates introduce security risk into the environment.</w:t>
      </w:r>
    </w:p>
    <w:p w14:paraId="201DFA63" w14:textId="1DEC8214" w:rsidR="00892D73" w:rsidRPr="00B97277" w:rsidRDefault="00892D73" w:rsidP="00F06CCA">
      <w:pPr>
        <w:rPr>
          <w:rFonts w:eastAsia="Calibri"/>
        </w:rPr>
      </w:pPr>
      <w:r w:rsidRPr="00B97277">
        <w:rPr>
          <w:rFonts w:eastAsia="Calibri"/>
        </w:rPr>
        <w:t>The Contractor shall provide industry standard technical expertise to include research or updates on new or upgraded operating systems, patches, hotfixes, applications, databases, Commercial-off-the-Shelf (COTS) products, security tools, issue resolution, vulnerability evaluation, countermeasure implementation, auditing/intrusion detection tools</w:t>
      </w:r>
      <w:r w:rsidR="003728C0">
        <w:rPr>
          <w:rFonts w:eastAsia="Calibri"/>
        </w:rPr>
        <w:t>,</w:t>
      </w:r>
      <w:r w:rsidRPr="00B97277">
        <w:rPr>
          <w:rFonts w:eastAsia="Calibri"/>
        </w:rPr>
        <w:t xml:space="preserve"> and all other security-relevant areas, as required.</w:t>
      </w:r>
    </w:p>
    <w:p w14:paraId="6DA340C6" w14:textId="037C2E9C" w:rsidR="00892D73" w:rsidRPr="00B97277" w:rsidRDefault="00892D73" w:rsidP="00F06CCA">
      <w:pPr>
        <w:rPr>
          <w:rFonts w:eastAsia="Calibri"/>
        </w:rPr>
      </w:pPr>
      <w:r w:rsidRPr="00B97277">
        <w:rPr>
          <w:rFonts w:eastAsia="Calibri"/>
        </w:rPr>
        <w:t>The Contractor shall provide additional qualified support within notice of two weeks to support to support new and unanticipated cybersecurity support requirements, as required.</w:t>
      </w:r>
    </w:p>
    <w:p w14:paraId="6625CFE5" w14:textId="550CFA97" w:rsidR="00892D73" w:rsidRDefault="000D7678" w:rsidP="00F06CCA">
      <w:pPr>
        <w:rPr>
          <w:rFonts w:eastAsia="Calibri"/>
        </w:rPr>
      </w:pPr>
      <w:r>
        <w:rPr>
          <w:rFonts w:eastAsia="Calibri"/>
        </w:rPr>
        <w:t>T</w:t>
      </w:r>
      <w:r w:rsidR="00892D73" w:rsidRPr="00B97277">
        <w:rPr>
          <w:rFonts w:eastAsia="Calibri"/>
        </w:rPr>
        <w:t>he Contractor shall ensure that within the Cybersecurity contract team, the following:</w:t>
      </w:r>
      <w:r w:rsidR="00892D73" w:rsidRPr="00B97277">
        <w:rPr>
          <w:rFonts w:eastAsia="Calibri"/>
        </w:rPr>
        <w:br/>
        <w:t>Require employee(s) performing vulnerability management functions possess demonstrable credentials to reflect knowledge, skills, and experience in operating web vulnerability assessment tools, and analyzing and interpreting results.</w:t>
      </w:r>
    </w:p>
    <w:p w14:paraId="53A577A8" w14:textId="56B75CE1" w:rsidR="00892D73" w:rsidRDefault="00892D73" w:rsidP="00F06CCA">
      <w:pPr>
        <w:pStyle w:val="ListParagraph"/>
        <w:numPr>
          <w:ilvl w:val="1"/>
          <w:numId w:val="10"/>
        </w:numPr>
        <w:rPr>
          <w:rFonts w:eastAsia="Calibri"/>
        </w:rPr>
      </w:pPr>
      <w:r w:rsidRPr="00B97277">
        <w:rPr>
          <w:rFonts w:eastAsia="Calibri"/>
        </w:rPr>
        <w:t>Require an employee possessing demonstrable credentials to reflect knowledge, skills, and experience on securing Linux/Unix based operating systems such as Red Hat / Oracle Enterprise Linux, and IBM AIX.</w:t>
      </w:r>
    </w:p>
    <w:p w14:paraId="0DEC3E5A" w14:textId="7E401F62" w:rsidR="00892D73" w:rsidRDefault="00892D73" w:rsidP="00F06CCA">
      <w:pPr>
        <w:pStyle w:val="ListParagraph"/>
        <w:numPr>
          <w:ilvl w:val="1"/>
          <w:numId w:val="10"/>
        </w:numPr>
        <w:rPr>
          <w:rFonts w:eastAsia="Calibri"/>
        </w:rPr>
      </w:pPr>
      <w:r w:rsidRPr="00B97277">
        <w:rPr>
          <w:rFonts w:eastAsia="Calibri"/>
        </w:rPr>
        <w:t>Require an employee possessing demonstrable expertise to reflect knowledge, skills, and experience on securing database systems such as Oracle.</w:t>
      </w:r>
    </w:p>
    <w:p w14:paraId="3B20BFC3" w14:textId="77777777" w:rsidR="00892D73" w:rsidRPr="00B97277" w:rsidRDefault="00892D73" w:rsidP="00F06CCA">
      <w:pPr>
        <w:pStyle w:val="ListParagraph"/>
        <w:numPr>
          <w:ilvl w:val="1"/>
          <w:numId w:val="10"/>
        </w:numPr>
        <w:rPr>
          <w:rFonts w:eastAsia="Calibri"/>
        </w:rPr>
      </w:pPr>
      <w:r w:rsidRPr="00B97277">
        <w:rPr>
          <w:rFonts w:eastAsia="Calibri"/>
        </w:rPr>
        <w:lastRenderedPageBreak/>
        <w:t xml:space="preserve">Require an employee possessing demonstrable expertise to reflect knowledge, skills, and experience on securing corporate business systems supporting functions such as financial management, budget, procurement, travel, HR/payroll, and data warehousing, </w:t>
      </w:r>
    </w:p>
    <w:p w14:paraId="530B036D" w14:textId="44FA6C53" w:rsidR="00892D73" w:rsidRDefault="00892D73" w:rsidP="00F06CCA">
      <w:pPr>
        <w:rPr>
          <w:rFonts w:eastAsia="Calibri"/>
        </w:rPr>
      </w:pPr>
      <w:r w:rsidRPr="00301D79">
        <w:rPr>
          <w:rFonts w:eastAsia="Calibri"/>
        </w:rPr>
        <w:t>The Contractor shall ensure all functions and activities are performed in accordance with all federal, &lt;AGENCY&gt;, state, and local regulations and guidelines.</w:t>
      </w:r>
    </w:p>
    <w:p w14:paraId="52E68F32" w14:textId="311E63BB" w:rsidR="000D7678" w:rsidRPr="003B29B5" w:rsidRDefault="00892D73" w:rsidP="003B29B5">
      <w:pPr>
        <w:pStyle w:val="Heading2"/>
        <w:rPr>
          <w:rFonts w:eastAsia="Calibri"/>
        </w:rPr>
      </w:pPr>
      <w:bookmarkStart w:id="49" w:name="_Toc408904669"/>
      <w:bookmarkStart w:id="50" w:name="_Toc11764654"/>
      <w:bookmarkStart w:id="51" w:name="_Toc11828364"/>
      <w:r w:rsidRPr="003B29B5">
        <w:rPr>
          <w:rFonts w:eastAsia="Calibri"/>
        </w:rPr>
        <w:t>D</w:t>
      </w:r>
      <w:bookmarkEnd w:id="49"/>
      <w:r w:rsidRPr="003B29B5">
        <w:rPr>
          <w:rFonts w:eastAsia="Calibri"/>
        </w:rPr>
        <w:t>eliverables</w:t>
      </w:r>
      <w:bookmarkEnd w:id="50"/>
      <w:bookmarkEnd w:id="51"/>
    </w:p>
    <w:tbl>
      <w:tblPr>
        <w:tblStyle w:val="TableGrid"/>
        <w:tblW w:w="5000" w:type="pct"/>
        <w:tblLook w:val="04A0" w:firstRow="1" w:lastRow="0" w:firstColumn="1" w:lastColumn="0" w:noHBand="0" w:noVBand="1"/>
      </w:tblPr>
      <w:tblGrid>
        <w:gridCol w:w="4675"/>
        <w:gridCol w:w="4675"/>
      </w:tblGrid>
      <w:tr w:rsidR="000D7678" w14:paraId="24C7F2F5" w14:textId="77777777" w:rsidTr="00465E55">
        <w:trPr>
          <w:cantSplit/>
          <w:trHeight w:val="373"/>
          <w:tblHeader/>
        </w:trPr>
        <w:tc>
          <w:tcPr>
            <w:tcW w:w="2500" w:type="pct"/>
            <w:shd w:val="clear" w:color="auto" w:fill="E7E6E6" w:themeFill="background2"/>
          </w:tcPr>
          <w:p w14:paraId="3D1EE9E6" w14:textId="2B6B5186" w:rsidR="000D7678" w:rsidRPr="003B29B5" w:rsidRDefault="000D7678" w:rsidP="00F06CCA">
            <w:pPr>
              <w:rPr>
                <w:rFonts w:eastAsia="Calibri"/>
                <w:b/>
                <w:bCs/>
              </w:rPr>
            </w:pPr>
            <w:r w:rsidRPr="003B29B5">
              <w:rPr>
                <w:b/>
                <w:bCs/>
                <w:snapToGrid w:val="0"/>
              </w:rPr>
              <w:t>Deliverable</w:t>
            </w:r>
          </w:p>
        </w:tc>
        <w:tc>
          <w:tcPr>
            <w:tcW w:w="2500" w:type="pct"/>
            <w:shd w:val="clear" w:color="auto" w:fill="E7E6E6" w:themeFill="background2"/>
          </w:tcPr>
          <w:p w14:paraId="65FFE383" w14:textId="4F234C15" w:rsidR="000D7678" w:rsidRPr="003B29B5" w:rsidRDefault="000D7678" w:rsidP="00F06CCA">
            <w:pPr>
              <w:rPr>
                <w:rFonts w:eastAsia="Calibri"/>
                <w:b/>
                <w:bCs/>
              </w:rPr>
            </w:pPr>
            <w:r w:rsidRPr="003B29B5">
              <w:rPr>
                <w:b/>
                <w:bCs/>
                <w:snapToGrid w:val="0"/>
              </w:rPr>
              <w:t>Due Date</w:t>
            </w:r>
          </w:p>
        </w:tc>
      </w:tr>
      <w:tr w:rsidR="000D7678" w14:paraId="533B192B" w14:textId="77777777" w:rsidTr="00465E55">
        <w:trPr>
          <w:cantSplit/>
          <w:trHeight w:val="356"/>
        </w:trPr>
        <w:tc>
          <w:tcPr>
            <w:tcW w:w="2500" w:type="pct"/>
          </w:tcPr>
          <w:p w14:paraId="25C056BB" w14:textId="182AA9A2" w:rsidR="000D7678" w:rsidRDefault="000D7678" w:rsidP="00F06CCA">
            <w:pPr>
              <w:rPr>
                <w:rFonts w:eastAsia="Calibri"/>
              </w:rPr>
            </w:pPr>
            <w:r w:rsidRPr="00200CB9">
              <w:t>Project/Implementation Plan</w:t>
            </w:r>
          </w:p>
        </w:tc>
        <w:tc>
          <w:tcPr>
            <w:tcW w:w="2500" w:type="pct"/>
          </w:tcPr>
          <w:p w14:paraId="5ECC0079" w14:textId="37BA63D3" w:rsidR="000D7678" w:rsidRDefault="000D7678" w:rsidP="00F06CCA">
            <w:pPr>
              <w:rPr>
                <w:rFonts w:eastAsia="Calibri"/>
              </w:rPr>
            </w:pPr>
            <w:r w:rsidRPr="00200CB9">
              <w:t xml:space="preserve">Within 10 </w:t>
            </w:r>
            <w:proofErr w:type="gramStart"/>
            <w:r w:rsidRPr="00200CB9">
              <w:t>work days</w:t>
            </w:r>
            <w:proofErr w:type="gramEnd"/>
            <w:r w:rsidRPr="00200CB9">
              <w:t xml:space="preserve"> of award </w:t>
            </w:r>
          </w:p>
        </w:tc>
      </w:tr>
      <w:tr w:rsidR="000D7678" w14:paraId="310A5612" w14:textId="77777777" w:rsidTr="00465E55">
        <w:trPr>
          <w:cantSplit/>
          <w:trHeight w:val="373"/>
        </w:trPr>
        <w:tc>
          <w:tcPr>
            <w:tcW w:w="2500" w:type="pct"/>
          </w:tcPr>
          <w:p w14:paraId="1D416017" w14:textId="0494636F" w:rsidR="000D7678" w:rsidRDefault="000D7678" w:rsidP="00F06CCA">
            <w:pPr>
              <w:rPr>
                <w:rFonts w:eastAsia="Calibri"/>
              </w:rPr>
            </w:pPr>
            <w:r w:rsidRPr="00200CB9">
              <w:t>Revised Project Plan</w:t>
            </w:r>
          </w:p>
        </w:tc>
        <w:tc>
          <w:tcPr>
            <w:tcW w:w="2500" w:type="pct"/>
          </w:tcPr>
          <w:p w14:paraId="7010012F" w14:textId="4BB73B44" w:rsidR="000D7678" w:rsidRDefault="000D7678" w:rsidP="00F06CCA">
            <w:pPr>
              <w:rPr>
                <w:rFonts w:eastAsia="Calibri"/>
              </w:rPr>
            </w:pPr>
            <w:r w:rsidRPr="00200CB9">
              <w:t>Within 7 business days of technical monitor notification</w:t>
            </w:r>
          </w:p>
        </w:tc>
      </w:tr>
      <w:tr w:rsidR="000D7678" w14:paraId="11ED9BDE" w14:textId="77777777" w:rsidTr="00465E55">
        <w:trPr>
          <w:cantSplit/>
          <w:trHeight w:val="373"/>
        </w:trPr>
        <w:tc>
          <w:tcPr>
            <w:tcW w:w="2500" w:type="pct"/>
          </w:tcPr>
          <w:p w14:paraId="7494BCE3" w14:textId="4F698468" w:rsidR="000D7678" w:rsidRDefault="000D7678" w:rsidP="00F06CCA">
            <w:pPr>
              <w:rPr>
                <w:rFonts w:eastAsia="Calibri"/>
              </w:rPr>
            </w:pPr>
            <w:r w:rsidRPr="00200CB9">
              <w:t>Project Status Reports</w:t>
            </w:r>
          </w:p>
        </w:tc>
        <w:tc>
          <w:tcPr>
            <w:tcW w:w="2500" w:type="pct"/>
          </w:tcPr>
          <w:p w14:paraId="091F5431" w14:textId="1E09686B" w:rsidR="000D7678" w:rsidRDefault="000D7678" w:rsidP="00F06CCA">
            <w:pPr>
              <w:rPr>
                <w:rFonts w:eastAsia="Calibri"/>
              </w:rPr>
            </w:pPr>
            <w:r w:rsidRPr="00200CB9">
              <w:t>Monthly</w:t>
            </w:r>
          </w:p>
        </w:tc>
      </w:tr>
      <w:tr w:rsidR="000D7678" w14:paraId="5D5A220D" w14:textId="77777777" w:rsidTr="00465E55">
        <w:trPr>
          <w:cantSplit/>
          <w:trHeight w:val="373"/>
        </w:trPr>
        <w:tc>
          <w:tcPr>
            <w:tcW w:w="2500" w:type="pct"/>
          </w:tcPr>
          <w:p w14:paraId="638152BC" w14:textId="69F79428" w:rsidR="000D7678" w:rsidRDefault="000D7678" w:rsidP="00F06CCA">
            <w:pPr>
              <w:rPr>
                <w:rFonts w:eastAsia="Calibri"/>
              </w:rPr>
            </w:pPr>
            <w:r w:rsidRPr="00200CB9">
              <w:t xml:space="preserve">Meeting Minutes </w:t>
            </w:r>
          </w:p>
        </w:tc>
        <w:tc>
          <w:tcPr>
            <w:tcW w:w="2500" w:type="pct"/>
          </w:tcPr>
          <w:p w14:paraId="734FF440" w14:textId="59FBA0B7" w:rsidR="000D7678" w:rsidRDefault="000D7678" w:rsidP="00F06CCA">
            <w:pPr>
              <w:rPr>
                <w:rFonts w:eastAsia="Calibri"/>
              </w:rPr>
            </w:pPr>
            <w:r w:rsidRPr="00200CB9">
              <w:t>Within 1 day of meeting</w:t>
            </w:r>
          </w:p>
        </w:tc>
      </w:tr>
      <w:tr w:rsidR="000D7678" w14:paraId="39F0D021" w14:textId="77777777" w:rsidTr="00465E55">
        <w:trPr>
          <w:cantSplit/>
          <w:trHeight w:val="356"/>
        </w:trPr>
        <w:tc>
          <w:tcPr>
            <w:tcW w:w="2500" w:type="pct"/>
          </w:tcPr>
          <w:p w14:paraId="65D92EA7" w14:textId="255172AF" w:rsidR="000D7678" w:rsidRDefault="000D7678" w:rsidP="00F06CCA">
            <w:pPr>
              <w:rPr>
                <w:rFonts w:eastAsia="Calibri"/>
              </w:rPr>
            </w:pPr>
            <w:r w:rsidRPr="00200CB9">
              <w:t>Updated Security Documentation for 26 systems (Security plan, Configuration Management Plan, Contingency Plan, PIA/PNA, Control Assessment Plan, and other System related documentation)</w:t>
            </w:r>
          </w:p>
        </w:tc>
        <w:tc>
          <w:tcPr>
            <w:tcW w:w="2500" w:type="pct"/>
          </w:tcPr>
          <w:p w14:paraId="57DFA604" w14:textId="40A9741F" w:rsidR="000D7678" w:rsidRDefault="000D7678" w:rsidP="00F06CCA">
            <w:pPr>
              <w:rPr>
                <w:rFonts w:eastAsia="Calibri"/>
              </w:rPr>
            </w:pPr>
            <w:r w:rsidRPr="00200CB9">
              <w:t>Annually</w:t>
            </w:r>
          </w:p>
        </w:tc>
      </w:tr>
      <w:tr w:rsidR="000D7678" w14:paraId="70BAA236" w14:textId="77777777" w:rsidTr="00465E55">
        <w:trPr>
          <w:cantSplit/>
          <w:trHeight w:val="373"/>
        </w:trPr>
        <w:tc>
          <w:tcPr>
            <w:tcW w:w="2500" w:type="pct"/>
          </w:tcPr>
          <w:p w14:paraId="666D524F" w14:textId="3FD8AD37" w:rsidR="000D7678" w:rsidRDefault="000D7678" w:rsidP="00F06CCA">
            <w:pPr>
              <w:rPr>
                <w:rFonts w:eastAsia="Calibri"/>
              </w:rPr>
            </w:pPr>
            <w:r w:rsidRPr="00200CB9">
              <w:t>Security Control Assessments</w:t>
            </w:r>
          </w:p>
        </w:tc>
        <w:tc>
          <w:tcPr>
            <w:tcW w:w="2500" w:type="pct"/>
          </w:tcPr>
          <w:p w14:paraId="0AFB961E" w14:textId="7679FCA8" w:rsidR="000D7678" w:rsidRDefault="000D7678" w:rsidP="00F06CCA">
            <w:pPr>
              <w:rPr>
                <w:rFonts w:eastAsia="Calibri"/>
              </w:rPr>
            </w:pPr>
            <w:r w:rsidRPr="00200CB9">
              <w:t>Annually, in accordance with mutually agreement upon assessment schedules.</w:t>
            </w:r>
          </w:p>
        </w:tc>
      </w:tr>
      <w:tr w:rsidR="000D7678" w14:paraId="53695706" w14:textId="77777777" w:rsidTr="00465E55">
        <w:trPr>
          <w:cantSplit/>
          <w:trHeight w:val="373"/>
        </w:trPr>
        <w:tc>
          <w:tcPr>
            <w:tcW w:w="2500" w:type="pct"/>
          </w:tcPr>
          <w:p w14:paraId="42EDDCFD" w14:textId="40DEA587" w:rsidR="000D7678" w:rsidRDefault="000D7678" w:rsidP="00F06CCA">
            <w:pPr>
              <w:rPr>
                <w:rFonts w:eastAsia="Calibri"/>
              </w:rPr>
            </w:pPr>
            <w:r w:rsidRPr="00200CB9">
              <w:t>Risk Assessment Report, Security Assessment Report and memo and other supporting materials</w:t>
            </w:r>
          </w:p>
        </w:tc>
        <w:tc>
          <w:tcPr>
            <w:tcW w:w="2500" w:type="pct"/>
          </w:tcPr>
          <w:p w14:paraId="3A43BAFD" w14:textId="3881067B" w:rsidR="000D7678" w:rsidRDefault="000D7678" w:rsidP="00F06CCA">
            <w:pPr>
              <w:rPr>
                <w:rFonts w:eastAsia="Calibri"/>
              </w:rPr>
            </w:pPr>
            <w:r w:rsidRPr="00200CB9">
              <w:t>Within 2 weeks of completion of Security Control Assessment.</w:t>
            </w:r>
          </w:p>
        </w:tc>
      </w:tr>
      <w:tr w:rsidR="000D7678" w14:paraId="4823C92A" w14:textId="77777777" w:rsidTr="00465E55">
        <w:trPr>
          <w:cantSplit/>
          <w:trHeight w:val="373"/>
        </w:trPr>
        <w:tc>
          <w:tcPr>
            <w:tcW w:w="2500" w:type="pct"/>
          </w:tcPr>
          <w:p w14:paraId="278B3BCD" w14:textId="48E27FBD" w:rsidR="000D7678" w:rsidRDefault="000D7678" w:rsidP="00F06CCA">
            <w:pPr>
              <w:rPr>
                <w:rFonts w:eastAsia="Calibri"/>
              </w:rPr>
            </w:pPr>
            <w:r w:rsidRPr="00200CB9">
              <w:t>Security Impact Assessments</w:t>
            </w:r>
          </w:p>
        </w:tc>
        <w:tc>
          <w:tcPr>
            <w:tcW w:w="2500" w:type="pct"/>
          </w:tcPr>
          <w:p w14:paraId="2381DDB9" w14:textId="344B5472" w:rsidR="000D7678" w:rsidRDefault="000D7678" w:rsidP="00F06CCA">
            <w:pPr>
              <w:rPr>
                <w:rFonts w:eastAsia="Calibri"/>
              </w:rPr>
            </w:pPr>
            <w:r w:rsidRPr="00200CB9">
              <w:t>As required</w:t>
            </w:r>
          </w:p>
        </w:tc>
      </w:tr>
      <w:tr w:rsidR="000D7678" w14:paraId="53A59FC4" w14:textId="77777777" w:rsidTr="00465E55">
        <w:trPr>
          <w:cantSplit/>
          <w:trHeight w:val="356"/>
        </w:trPr>
        <w:tc>
          <w:tcPr>
            <w:tcW w:w="2500" w:type="pct"/>
          </w:tcPr>
          <w:p w14:paraId="718EF4BC" w14:textId="48F36AA3" w:rsidR="000D7678" w:rsidRDefault="000D7678" w:rsidP="00F06CCA">
            <w:pPr>
              <w:rPr>
                <w:rFonts w:eastAsia="Calibri"/>
              </w:rPr>
            </w:pPr>
            <w:r w:rsidRPr="00200CB9">
              <w:t>Risk Assessments / Deviation Waiver Requests</w:t>
            </w:r>
          </w:p>
        </w:tc>
        <w:tc>
          <w:tcPr>
            <w:tcW w:w="2500" w:type="pct"/>
          </w:tcPr>
          <w:p w14:paraId="144FC783" w14:textId="3D4EC528" w:rsidR="000D7678" w:rsidRDefault="000D7678" w:rsidP="00F06CCA">
            <w:pPr>
              <w:rPr>
                <w:rFonts w:eastAsia="Calibri"/>
              </w:rPr>
            </w:pPr>
            <w:r w:rsidRPr="00200CB9">
              <w:t>As required</w:t>
            </w:r>
          </w:p>
        </w:tc>
      </w:tr>
      <w:tr w:rsidR="000D7678" w14:paraId="6A32951D" w14:textId="77777777" w:rsidTr="00465E55">
        <w:trPr>
          <w:cantSplit/>
          <w:trHeight w:val="373"/>
        </w:trPr>
        <w:tc>
          <w:tcPr>
            <w:tcW w:w="2500" w:type="pct"/>
          </w:tcPr>
          <w:p w14:paraId="0A486320" w14:textId="11EE767C" w:rsidR="000D7678" w:rsidRDefault="000D7678" w:rsidP="00F06CCA">
            <w:pPr>
              <w:rPr>
                <w:rFonts w:eastAsia="Calibri"/>
              </w:rPr>
            </w:pPr>
            <w:r w:rsidRPr="00200CB9">
              <w:t>Security tasks/activities project schedule</w:t>
            </w:r>
          </w:p>
        </w:tc>
        <w:tc>
          <w:tcPr>
            <w:tcW w:w="2500" w:type="pct"/>
          </w:tcPr>
          <w:p w14:paraId="160F761B" w14:textId="04443C8E" w:rsidR="000D7678" w:rsidRDefault="000D7678" w:rsidP="00F06CCA">
            <w:pPr>
              <w:rPr>
                <w:rFonts w:eastAsia="Calibri"/>
              </w:rPr>
            </w:pPr>
            <w:r w:rsidRPr="00200CB9">
              <w:t>Weekly</w:t>
            </w:r>
          </w:p>
        </w:tc>
      </w:tr>
      <w:tr w:rsidR="000D7678" w14:paraId="76CCB0C8" w14:textId="77777777" w:rsidTr="00465E55">
        <w:trPr>
          <w:cantSplit/>
          <w:trHeight w:val="373"/>
        </w:trPr>
        <w:tc>
          <w:tcPr>
            <w:tcW w:w="2500" w:type="pct"/>
          </w:tcPr>
          <w:p w14:paraId="1BB82FED" w14:textId="48D3CE54" w:rsidR="000D7678" w:rsidRDefault="000D7678" w:rsidP="00F06CCA">
            <w:pPr>
              <w:rPr>
                <w:rFonts w:eastAsia="Calibri"/>
              </w:rPr>
            </w:pPr>
            <w:r w:rsidRPr="00200CB9">
              <w:lastRenderedPageBreak/>
              <w:t>Vulnerability Reports</w:t>
            </w:r>
          </w:p>
        </w:tc>
        <w:tc>
          <w:tcPr>
            <w:tcW w:w="2500" w:type="pct"/>
          </w:tcPr>
          <w:p w14:paraId="04136314" w14:textId="009F55F2" w:rsidR="000D7678" w:rsidRDefault="000D7678" w:rsidP="00F06CCA">
            <w:pPr>
              <w:rPr>
                <w:rFonts w:eastAsia="Calibri"/>
              </w:rPr>
            </w:pPr>
            <w:proofErr w:type="gramStart"/>
            <w:r w:rsidRPr="00200CB9">
              <w:t>Monthly;</w:t>
            </w:r>
            <w:proofErr w:type="gramEnd"/>
            <w:r w:rsidRPr="00200CB9">
              <w:t xml:space="preserve"> As required</w:t>
            </w:r>
          </w:p>
        </w:tc>
      </w:tr>
      <w:tr w:rsidR="000D7678" w14:paraId="582D331B" w14:textId="77777777" w:rsidTr="00465E55">
        <w:trPr>
          <w:cantSplit/>
          <w:trHeight w:val="356"/>
        </w:trPr>
        <w:tc>
          <w:tcPr>
            <w:tcW w:w="2500" w:type="pct"/>
          </w:tcPr>
          <w:p w14:paraId="12686F60" w14:textId="7BB0C7D4" w:rsidR="000D7678" w:rsidRDefault="000D7678" w:rsidP="00F06CCA">
            <w:pPr>
              <w:rPr>
                <w:rFonts w:eastAsia="Calibri"/>
              </w:rPr>
            </w:pPr>
            <w:r w:rsidRPr="00200CB9">
              <w:t>Vulnerability Dashboard</w:t>
            </w:r>
          </w:p>
        </w:tc>
        <w:tc>
          <w:tcPr>
            <w:tcW w:w="2500" w:type="pct"/>
          </w:tcPr>
          <w:p w14:paraId="4B856980" w14:textId="47EF0295" w:rsidR="000D7678" w:rsidRDefault="000D7678" w:rsidP="00F06CCA">
            <w:pPr>
              <w:rPr>
                <w:rFonts w:eastAsia="Calibri"/>
              </w:rPr>
            </w:pPr>
            <w:r w:rsidRPr="00200CB9">
              <w:t>Monthly</w:t>
            </w:r>
          </w:p>
        </w:tc>
      </w:tr>
      <w:tr w:rsidR="000D7678" w14:paraId="5B5EF258" w14:textId="77777777" w:rsidTr="00465E55">
        <w:trPr>
          <w:cantSplit/>
          <w:trHeight w:val="373"/>
        </w:trPr>
        <w:tc>
          <w:tcPr>
            <w:tcW w:w="2500" w:type="pct"/>
          </w:tcPr>
          <w:p w14:paraId="4B2435E9" w14:textId="3742E92B" w:rsidR="000D7678" w:rsidRDefault="000D7678" w:rsidP="00F06CCA">
            <w:pPr>
              <w:rPr>
                <w:rFonts w:eastAsia="Calibri"/>
              </w:rPr>
            </w:pPr>
            <w:r w:rsidRPr="00200CB9">
              <w:t>POA&amp;M Report</w:t>
            </w:r>
          </w:p>
        </w:tc>
        <w:tc>
          <w:tcPr>
            <w:tcW w:w="2500" w:type="pct"/>
          </w:tcPr>
          <w:p w14:paraId="47351B23" w14:textId="1CF7E4B3" w:rsidR="000D7678" w:rsidRDefault="000D7678" w:rsidP="00F06CCA">
            <w:pPr>
              <w:rPr>
                <w:rFonts w:eastAsia="Calibri"/>
              </w:rPr>
            </w:pPr>
            <w:r w:rsidRPr="00200CB9">
              <w:t>Monthly</w:t>
            </w:r>
          </w:p>
        </w:tc>
      </w:tr>
      <w:tr w:rsidR="000D7678" w14:paraId="504E3DFE" w14:textId="77777777" w:rsidTr="00465E55">
        <w:trPr>
          <w:cantSplit/>
          <w:trHeight w:val="373"/>
        </w:trPr>
        <w:tc>
          <w:tcPr>
            <w:tcW w:w="2500" w:type="pct"/>
          </w:tcPr>
          <w:p w14:paraId="20E5CE93" w14:textId="6D0D64D7" w:rsidR="000D7678" w:rsidRDefault="000D7678" w:rsidP="00F06CCA">
            <w:pPr>
              <w:rPr>
                <w:rFonts w:eastAsia="Calibri"/>
              </w:rPr>
            </w:pPr>
            <w:r w:rsidRPr="00200CB9">
              <w:t>OCFO IT Asset Inventory Updates</w:t>
            </w:r>
          </w:p>
        </w:tc>
        <w:tc>
          <w:tcPr>
            <w:tcW w:w="2500" w:type="pct"/>
          </w:tcPr>
          <w:p w14:paraId="2B32A0C4" w14:textId="35E286B0" w:rsidR="000D7678" w:rsidRDefault="000D7678" w:rsidP="00F06CCA">
            <w:pPr>
              <w:rPr>
                <w:rFonts w:eastAsia="Calibri"/>
              </w:rPr>
            </w:pPr>
            <w:proofErr w:type="gramStart"/>
            <w:r w:rsidRPr="00200CB9">
              <w:t>Quarterly;</w:t>
            </w:r>
            <w:proofErr w:type="gramEnd"/>
            <w:r w:rsidRPr="00200CB9">
              <w:t xml:space="preserve"> As required</w:t>
            </w:r>
          </w:p>
        </w:tc>
      </w:tr>
      <w:tr w:rsidR="000D7678" w14:paraId="778E1EF6" w14:textId="77777777" w:rsidTr="00465E55">
        <w:trPr>
          <w:cantSplit/>
          <w:trHeight w:val="356"/>
        </w:trPr>
        <w:tc>
          <w:tcPr>
            <w:tcW w:w="2500" w:type="pct"/>
          </w:tcPr>
          <w:p w14:paraId="5EB9779D" w14:textId="4E55EE12" w:rsidR="000D7678" w:rsidRDefault="000D7678" w:rsidP="00F06CCA">
            <w:pPr>
              <w:rPr>
                <w:rFonts w:eastAsia="Calibri"/>
              </w:rPr>
            </w:pPr>
            <w:r w:rsidRPr="00200CB9">
              <w:t>Incident Log</w:t>
            </w:r>
          </w:p>
        </w:tc>
        <w:tc>
          <w:tcPr>
            <w:tcW w:w="2500" w:type="pct"/>
          </w:tcPr>
          <w:p w14:paraId="0C2EB979" w14:textId="519B041A" w:rsidR="000D7678" w:rsidRDefault="000D7678" w:rsidP="00F06CCA">
            <w:pPr>
              <w:rPr>
                <w:rFonts w:eastAsia="Calibri"/>
              </w:rPr>
            </w:pPr>
            <w:r w:rsidRPr="00200CB9">
              <w:t>Monthly</w:t>
            </w:r>
          </w:p>
        </w:tc>
      </w:tr>
      <w:tr w:rsidR="000D7678" w14:paraId="415CC855" w14:textId="77777777" w:rsidTr="00465E55">
        <w:trPr>
          <w:cantSplit/>
          <w:trHeight w:val="356"/>
        </w:trPr>
        <w:tc>
          <w:tcPr>
            <w:tcW w:w="2500" w:type="pct"/>
          </w:tcPr>
          <w:p w14:paraId="1F6ABE35" w14:textId="42F931F0" w:rsidR="000D7678" w:rsidRDefault="000D7678" w:rsidP="00F06CCA">
            <w:pPr>
              <w:rPr>
                <w:rFonts w:eastAsia="Calibri"/>
              </w:rPr>
            </w:pPr>
            <w:r w:rsidRPr="00200CB9">
              <w:t>Unsupported Software Lifecycle Report</w:t>
            </w:r>
          </w:p>
        </w:tc>
        <w:tc>
          <w:tcPr>
            <w:tcW w:w="2500" w:type="pct"/>
          </w:tcPr>
          <w:p w14:paraId="5D0FC747" w14:textId="6CFD8B84" w:rsidR="000D7678" w:rsidRDefault="000D7678" w:rsidP="00F06CCA">
            <w:pPr>
              <w:rPr>
                <w:rFonts w:eastAsia="Calibri"/>
              </w:rPr>
            </w:pPr>
            <w:r w:rsidRPr="00200CB9">
              <w:t>Quarterly;</w:t>
            </w:r>
          </w:p>
        </w:tc>
      </w:tr>
      <w:tr w:rsidR="000D7678" w14:paraId="621B9F5B" w14:textId="77777777" w:rsidTr="00465E55">
        <w:trPr>
          <w:cantSplit/>
          <w:trHeight w:val="356"/>
        </w:trPr>
        <w:tc>
          <w:tcPr>
            <w:tcW w:w="2500" w:type="pct"/>
          </w:tcPr>
          <w:p w14:paraId="021075F5" w14:textId="55DE4428" w:rsidR="000D7678" w:rsidRDefault="000D7678" w:rsidP="00F06CCA">
            <w:pPr>
              <w:rPr>
                <w:rFonts w:eastAsia="Calibri"/>
              </w:rPr>
            </w:pPr>
            <w:r w:rsidRPr="00200CB9">
              <w:t>Cybersecurity Metrics Scorecard</w:t>
            </w:r>
          </w:p>
        </w:tc>
        <w:tc>
          <w:tcPr>
            <w:tcW w:w="2500" w:type="pct"/>
          </w:tcPr>
          <w:p w14:paraId="4C89EB7B" w14:textId="4AE9A073" w:rsidR="000D7678" w:rsidRDefault="000D7678" w:rsidP="00F06CCA">
            <w:pPr>
              <w:rPr>
                <w:rFonts w:eastAsia="Calibri"/>
              </w:rPr>
            </w:pPr>
            <w:r w:rsidRPr="00200CB9">
              <w:t>Monthly</w:t>
            </w:r>
          </w:p>
        </w:tc>
      </w:tr>
      <w:tr w:rsidR="000D7678" w14:paraId="026DFD49" w14:textId="77777777" w:rsidTr="00465E55">
        <w:trPr>
          <w:cantSplit/>
          <w:trHeight w:val="356"/>
        </w:trPr>
        <w:tc>
          <w:tcPr>
            <w:tcW w:w="2500" w:type="pct"/>
          </w:tcPr>
          <w:p w14:paraId="0DFD078E" w14:textId="7FBD4785" w:rsidR="000D7678" w:rsidRDefault="000D7678" w:rsidP="00F06CCA">
            <w:pPr>
              <w:rPr>
                <w:rFonts w:eastAsia="Calibri"/>
              </w:rPr>
            </w:pPr>
            <w:r w:rsidRPr="00200CB9">
              <w:t>Privileged Access Authorization Reviews</w:t>
            </w:r>
          </w:p>
        </w:tc>
        <w:tc>
          <w:tcPr>
            <w:tcW w:w="2500" w:type="pct"/>
          </w:tcPr>
          <w:p w14:paraId="3F177846" w14:textId="1B6DC12A" w:rsidR="000D7678" w:rsidRDefault="000D7678" w:rsidP="00F06CCA">
            <w:pPr>
              <w:rPr>
                <w:rFonts w:eastAsia="Calibri"/>
              </w:rPr>
            </w:pPr>
            <w:proofErr w:type="gramStart"/>
            <w:r w:rsidRPr="00200CB9">
              <w:t>Quarterly;</w:t>
            </w:r>
            <w:proofErr w:type="gramEnd"/>
            <w:r w:rsidRPr="00200CB9">
              <w:t xml:space="preserve"> As required</w:t>
            </w:r>
          </w:p>
        </w:tc>
      </w:tr>
    </w:tbl>
    <w:p w14:paraId="591A5E07" w14:textId="3256FAF4" w:rsidR="00892D73" w:rsidRPr="00CF0B10" w:rsidRDefault="00892D73" w:rsidP="003B29B5">
      <w:pPr>
        <w:pStyle w:val="Heading1"/>
        <w:rPr>
          <w:rStyle w:val="Heading2Char"/>
          <w:b/>
        </w:rPr>
      </w:pPr>
      <w:bookmarkStart w:id="52" w:name="_Toc11764655"/>
      <w:bookmarkStart w:id="53" w:name="_Toc11828365"/>
      <w:r w:rsidRPr="003B29B5">
        <w:t>PERFORMANCE MEASURES/EXPECTATIONS</w:t>
      </w:r>
      <w:bookmarkEnd w:id="52"/>
      <w:bookmarkEnd w:id="53"/>
    </w:p>
    <w:p w14:paraId="1234516F" w14:textId="77777777" w:rsidR="00892D73" w:rsidRPr="00672CC2" w:rsidRDefault="00892D73" w:rsidP="00F06CCA">
      <w:pPr>
        <w:rPr>
          <w:rFonts w:eastAsia="Calibri"/>
        </w:rPr>
      </w:pPr>
      <w:r w:rsidRPr="00672CC2">
        <w:rPr>
          <w:rFonts w:eastAsia="Calibri"/>
        </w:rPr>
        <w:t>The Performance Measures/ Expectations apply to Sections 4 of this PWS.</w:t>
      </w:r>
    </w:p>
    <w:p w14:paraId="2A136658" w14:textId="738E9479" w:rsidR="0005262C" w:rsidRPr="0005262C" w:rsidRDefault="00892D73" w:rsidP="0005262C">
      <w:pPr>
        <w:pStyle w:val="ListParagraph"/>
        <w:numPr>
          <w:ilvl w:val="0"/>
          <w:numId w:val="4"/>
        </w:numPr>
        <w:rPr>
          <w:rFonts w:eastAsia="Calibri"/>
        </w:rPr>
      </w:pPr>
      <w:r w:rsidRPr="007A43E3">
        <w:rPr>
          <w:rFonts w:eastAsia="Calibri"/>
        </w:rPr>
        <w:t xml:space="preserve">Responds to requests for new work orders within 48 hours and delivers new or updated project plans within </w:t>
      </w:r>
      <w:r w:rsidR="00B1246C">
        <w:rPr>
          <w:rFonts w:eastAsia="Calibri"/>
        </w:rPr>
        <w:t>ten (</w:t>
      </w:r>
      <w:r w:rsidRPr="007A43E3">
        <w:rPr>
          <w:rFonts w:eastAsia="Calibri"/>
        </w:rPr>
        <w:t>10</w:t>
      </w:r>
      <w:r w:rsidR="00B1246C">
        <w:rPr>
          <w:rFonts w:eastAsia="Calibri"/>
        </w:rPr>
        <w:t>)</w:t>
      </w:r>
      <w:r w:rsidRPr="007A43E3">
        <w:rPr>
          <w:rFonts w:eastAsia="Calibri"/>
        </w:rPr>
        <w:t xml:space="preserve"> working days of receiving the detailed requirements from the Contracting Officer, Contracting Officer’s Representative, Federal Project Manager, or designee.</w:t>
      </w:r>
      <w:r w:rsidR="00F06CCA">
        <w:rPr>
          <w:rFonts w:eastAsia="Calibri"/>
        </w:rPr>
        <w:t xml:space="preserve"> </w:t>
      </w:r>
      <w:r w:rsidRPr="007A43E3">
        <w:rPr>
          <w:rFonts w:eastAsia="Calibri"/>
        </w:rPr>
        <w:t>The Contractor will discuss impacts on other projects in their project plans.</w:t>
      </w:r>
      <w:r w:rsidR="00F06CCA">
        <w:rPr>
          <w:rFonts w:eastAsia="Calibri"/>
        </w:rPr>
        <w:t xml:space="preserve"> </w:t>
      </w:r>
      <w:r w:rsidRPr="007A43E3">
        <w:rPr>
          <w:rFonts w:eastAsia="Calibri"/>
        </w:rPr>
        <w:t xml:space="preserve">The Government must provide adequate requirements, and answer all relevant questions posed by the Contractor within </w:t>
      </w:r>
      <w:r w:rsidR="00B1246C">
        <w:rPr>
          <w:rFonts w:eastAsia="Calibri"/>
        </w:rPr>
        <w:t>two (</w:t>
      </w:r>
      <w:r w:rsidRPr="007A43E3">
        <w:rPr>
          <w:rFonts w:eastAsia="Calibri"/>
        </w:rPr>
        <w:t>2</w:t>
      </w:r>
      <w:r w:rsidR="00B1246C">
        <w:rPr>
          <w:rFonts w:eastAsia="Calibri"/>
        </w:rPr>
        <w:t>)</w:t>
      </w:r>
      <w:r w:rsidRPr="007A43E3">
        <w:rPr>
          <w:rFonts w:eastAsia="Calibri"/>
        </w:rPr>
        <w:t xml:space="preserve"> days.</w:t>
      </w:r>
      <w:r w:rsidR="00F06CCA">
        <w:rPr>
          <w:rFonts w:eastAsia="Calibri"/>
        </w:rPr>
        <w:t xml:space="preserve"> </w:t>
      </w:r>
      <w:r w:rsidRPr="007A43E3">
        <w:rPr>
          <w:rFonts w:eastAsia="Calibri"/>
        </w:rPr>
        <w:t xml:space="preserve">If the Government takes longer than two </w:t>
      </w:r>
      <w:r w:rsidR="00B1246C">
        <w:rPr>
          <w:rFonts w:eastAsia="Calibri"/>
        </w:rPr>
        <w:t xml:space="preserve">(2) </w:t>
      </w:r>
      <w:r w:rsidRPr="007A43E3">
        <w:rPr>
          <w:rFonts w:eastAsia="Calibri"/>
        </w:rPr>
        <w:t xml:space="preserve">days to respond or provide clarification of the requirements, the </w:t>
      </w:r>
      <w:r w:rsidR="00B1246C">
        <w:rPr>
          <w:rFonts w:eastAsia="Calibri"/>
        </w:rPr>
        <w:t>ten (</w:t>
      </w:r>
      <w:r w:rsidRPr="007A43E3">
        <w:rPr>
          <w:rFonts w:eastAsia="Calibri"/>
        </w:rPr>
        <w:t>10</w:t>
      </w:r>
      <w:r w:rsidR="00B1246C">
        <w:rPr>
          <w:rFonts w:eastAsia="Calibri"/>
        </w:rPr>
        <w:t>)-</w:t>
      </w:r>
      <w:r w:rsidRPr="007A43E3">
        <w:rPr>
          <w:rFonts w:eastAsia="Calibri"/>
        </w:rPr>
        <w:t>day timeline for Contractor’s delivery of project plans will be extended by the amount of time it took the Government to respond. All project plans agreed upon with Contracting Officer, Contracting Officer’s Representative, Federal Project Manager, or designee will be accomplished within 5% of schedule.</w:t>
      </w:r>
    </w:p>
    <w:sectPr w:rsidR="0005262C" w:rsidRPr="0005262C" w:rsidSect="00684C7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0402D" w14:textId="77777777" w:rsidR="00997F5D" w:rsidRDefault="00997F5D" w:rsidP="00F06CCA">
      <w:r>
        <w:separator/>
      </w:r>
    </w:p>
  </w:endnote>
  <w:endnote w:type="continuationSeparator" w:id="0">
    <w:p w14:paraId="3AE693E2" w14:textId="77777777" w:rsidR="00997F5D" w:rsidRDefault="00997F5D" w:rsidP="00F0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D7105" w14:textId="77777777" w:rsidR="00D92349" w:rsidRPr="00CF732E" w:rsidRDefault="00BF52AC" w:rsidP="00CF7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1567207"/>
      <w:docPartObj>
        <w:docPartGallery w:val="Page Numbers (Bottom of Page)"/>
        <w:docPartUnique/>
      </w:docPartObj>
    </w:sdtPr>
    <w:sdtEndPr>
      <w:rPr>
        <w:noProof/>
      </w:rPr>
    </w:sdtEndPr>
    <w:sdtContent>
      <w:p w14:paraId="4558264E" w14:textId="7A8C27AF" w:rsidR="009E4B9A" w:rsidRDefault="009E4B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FF6BE4" w14:textId="36F1517E" w:rsidR="00717393" w:rsidRPr="00CF732E" w:rsidRDefault="00717393" w:rsidP="00CF73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20523" w14:textId="6EC4E9D1" w:rsidR="00D708BE" w:rsidRPr="00D91E2F" w:rsidRDefault="00D708BE" w:rsidP="00F06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00C30" w14:textId="77777777" w:rsidR="00997F5D" w:rsidRDefault="00997F5D" w:rsidP="00F06CCA">
      <w:r>
        <w:separator/>
      </w:r>
    </w:p>
  </w:footnote>
  <w:footnote w:type="continuationSeparator" w:id="0">
    <w:p w14:paraId="6BC9DB4A" w14:textId="77777777" w:rsidR="00997F5D" w:rsidRDefault="00997F5D" w:rsidP="00F06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CFAD3" w14:textId="4CF1D707" w:rsidR="00D92349" w:rsidRDefault="00BF52AC" w:rsidP="00F06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EB373" w14:textId="74D30161" w:rsidR="00D92349" w:rsidRPr="00717393" w:rsidRDefault="00BF52AC" w:rsidP="00F06C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7594" w14:textId="77777777" w:rsidR="00D92349" w:rsidRPr="00D708BE" w:rsidRDefault="00BF52AC" w:rsidP="00F06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206B"/>
    <w:multiLevelType w:val="hybridMultilevel"/>
    <w:tmpl w:val="9B64EC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D555F"/>
    <w:multiLevelType w:val="hybridMultilevel"/>
    <w:tmpl w:val="5138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0084B"/>
    <w:multiLevelType w:val="multilevel"/>
    <w:tmpl w:val="02E09242"/>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EF15F9B"/>
    <w:multiLevelType w:val="hybridMultilevel"/>
    <w:tmpl w:val="21F8AE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028AE"/>
    <w:multiLevelType w:val="hybridMultilevel"/>
    <w:tmpl w:val="970E7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02A4D"/>
    <w:multiLevelType w:val="multilevel"/>
    <w:tmpl w:val="A9D4B632"/>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A132EE"/>
    <w:multiLevelType w:val="multilevel"/>
    <w:tmpl w:val="0409001D"/>
    <w:styleLink w:val="A-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207B3CA9"/>
    <w:multiLevelType w:val="hybridMultilevel"/>
    <w:tmpl w:val="FA809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A947CE"/>
    <w:multiLevelType w:val="hybridMultilevel"/>
    <w:tmpl w:val="BC96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F180D"/>
    <w:multiLevelType w:val="hybridMultilevel"/>
    <w:tmpl w:val="AA96D8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53142"/>
    <w:multiLevelType w:val="hybridMultilevel"/>
    <w:tmpl w:val="C0ECC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67922"/>
    <w:multiLevelType w:val="hybridMultilevel"/>
    <w:tmpl w:val="4B601426"/>
    <w:lvl w:ilvl="0" w:tplc="04090019">
      <w:start w:val="1"/>
      <w:numFmt w:val="lowerLetter"/>
      <w:lvlText w:val="%1."/>
      <w:lvlJc w:val="left"/>
      <w:pPr>
        <w:ind w:left="720" w:hanging="360"/>
      </w:pPr>
    </w:lvl>
    <w:lvl w:ilvl="1" w:tplc="80501FDE">
      <w:start w:val="1"/>
      <w:numFmt w:val="lowerLetter"/>
      <w:lvlText w:val="%2."/>
      <w:lvlJc w:val="left"/>
      <w:pPr>
        <w:ind w:left="1440" w:hanging="360"/>
      </w:pPr>
      <w:rPr>
        <w:rFonts w:ascii="Arial"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B728DD"/>
    <w:multiLevelType w:val="hybridMultilevel"/>
    <w:tmpl w:val="E2DEDBE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6D549E"/>
    <w:multiLevelType w:val="hybridMultilevel"/>
    <w:tmpl w:val="3FCE46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37797B"/>
    <w:multiLevelType w:val="hybridMultilevel"/>
    <w:tmpl w:val="9700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EE265D"/>
    <w:multiLevelType w:val="hybridMultilevel"/>
    <w:tmpl w:val="DA02340A"/>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4E1B35"/>
    <w:multiLevelType w:val="multilevel"/>
    <w:tmpl w:val="E08611F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
  </w:num>
  <w:num w:numId="3">
    <w:abstractNumId w:val="10"/>
  </w:num>
  <w:num w:numId="4">
    <w:abstractNumId w:val="4"/>
  </w:num>
  <w:num w:numId="5">
    <w:abstractNumId w:val="5"/>
  </w:num>
  <w:num w:numId="6">
    <w:abstractNumId w:val="11"/>
  </w:num>
  <w:num w:numId="7">
    <w:abstractNumId w:val="1"/>
  </w:num>
  <w:num w:numId="8">
    <w:abstractNumId w:val="14"/>
  </w:num>
  <w:num w:numId="9">
    <w:abstractNumId w:val="8"/>
  </w:num>
  <w:num w:numId="10">
    <w:abstractNumId w:val="12"/>
  </w:num>
  <w:num w:numId="11">
    <w:abstractNumId w:val="16"/>
  </w:num>
  <w:num w:numId="12">
    <w:abstractNumId w:val="13"/>
  </w:num>
  <w:num w:numId="13">
    <w:abstractNumId w:val="0"/>
  </w:num>
  <w:num w:numId="14">
    <w:abstractNumId w:val="7"/>
  </w:num>
  <w:num w:numId="15">
    <w:abstractNumId w:val="9"/>
  </w:num>
  <w:num w:numId="16">
    <w:abstractNumId w:val="3"/>
  </w:num>
  <w:num w:numId="17">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73"/>
    <w:rsid w:val="0005262C"/>
    <w:rsid w:val="000B527B"/>
    <w:rsid w:val="000D3EAE"/>
    <w:rsid w:val="000D7678"/>
    <w:rsid w:val="000F26E4"/>
    <w:rsid w:val="00126B13"/>
    <w:rsid w:val="001426E2"/>
    <w:rsid w:val="00163514"/>
    <w:rsid w:val="00163DDE"/>
    <w:rsid w:val="001851B5"/>
    <w:rsid w:val="001F4758"/>
    <w:rsid w:val="00200CB9"/>
    <w:rsid w:val="0022677A"/>
    <w:rsid w:val="002471ED"/>
    <w:rsid w:val="00247515"/>
    <w:rsid w:val="00266605"/>
    <w:rsid w:val="002B0C3F"/>
    <w:rsid w:val="00301D79"/>
    <w:rsid w:val="00303081"/>
    <w:rsid w:val="00317AB4"/>
    <w:rsid w:val="00324D5F"/>
    <w:rsid w:val="003426D3"/>
    <w:rsid w:val="00344854"/>
    <w:rsid w:val="00362421"/>
    <w:rsid w:val="003728C0"/>
    <w:rsid w:val="00372F94"/>
    <w:rsid w:val="00373955"/>
    <w:rsid w:val="003B29B5"/>
    <w:rsid w:val="003E675A"/>
    <w:rsid w:val="0041128E"/>
    <w:rsid w:val="0042221A"/>
    <w:rsid w:val="004321A4"/>
    <w:rsid w:val="004339F3"/>
    <w:rsid w:val="00465E55"/>
    <w:rsid w:val="004E05E2"/>
    <w:rsid w:val="00537DEB"/>
    <w:rsid w:val="00557014"/>
    <w:rsid w:val="005B1C08"/>
    <w:rsid w:val="00615428"/>
    <w:rsid w:val="0063636E"/>
    <w:rsid w:val="00672CC2"/>
    <w:rsid w:val="00680B97"/>
    <w:rsid w:val="00684C77"/>
    <w:rsid w:val="006B11A1"/>
    <w:rsid w:val="006D20A5"/>
    <w:rsid w:val="006D2D8A"/>
    <w:rsid w:val="006E1407"/>
    <w:rsid w:val="007158BB"/>
    <w:rsid w:val="00717393"/>
    <w:rsid w:val="00750A60"/>
    <w:rsid w:val="0075521C"/>
    <w:rsid w:val="00783022"/>
    <w:rsid w:val="00796659"/>
    <w:rsid w:val="007A43E3"/>
    <w:rsid w:val="007D137C"/>
    <w:rsid w:val="00843C09"/>
    <w:rsid w:val="00891B56"/>
    <w:rsid w:val="00892D73"/>
    <w:rsid w:val="008935F0"/>
    <w:rsid w:val="00897586"/>
    <w:rsid w:val="008A0045"/>
    <w:rsid w:val="008A1030"/>
    <w:rsid w:val="008E1A24"/>
    <w:rsid w:val="008F1644"/>
    <w:rsid w:val="008F7113"/>
    <w:rsid w:val="00901882"/>
    <w:rsid w:val="00920D1C"/>
    <w:rsid w:val="00924445"/>
    <w:rsid w:val="0093537E"/>
    <w:rsid w:val="00951162"/>
    <w:rsid w:val="00952416"/>
    <w:rsid w:val="00997F5D"/>
    <w:rsid w:val="009D0FBF"/>
    <w:rsid w:val="009D7D90"/>
    <w:rsid w:val="009E364B"/>
    <w:rsid w:val="009E4B9A"/>
    <w:rsid w:val="00A05195"/>
    <w:rsid w:val="00A7538B"/>
    <w:rsid w:val="00AC188D"/>
    <w:rsid w:val="00AE2AB6"/>
    <w:rsid w:val="00B06521"/>
    <w:rsid w:val="00B1246C"/>
    <w:rsid w:val="00B8786E"/>
    <w:rsid w:val="00B97277"/>
    <w:rsid w:val="00BB2D9B"/>
    <w:rsid w:val="00BC05B3"/>
    <w:rsid w:val="00BF52AC"/>
    <w:rsid w:val="00C10335"/>
    <w:rsid w:val="00C72961"/>
    <w:rsid w:val="00CD08E3"/>
    <w:rsid w:val="00CF0B10"/>
    <w:rsid w:val="00CF732E"/>
    <w:rsid w:val="00D01421"/>
    <w:rsid w:val="00D02120"/>
    <w:rsid w:val="00D60A42"/>
    <w:rsid w:val="00D708BE"/>
    <w:rsid w:val="00D70ECE"/>
    <w:rsid w:val="00D71228"/>
    <w:rsid w:val="00D91E2F"/>
    <w:rsid w:val="00D94805"/>
    <w:rsid w:val="00DA3C6D"/>
    <w:rsid w:val="00DF508F"/>
    <w:rsid w:val="00E05034"/>
    <w:rsid w:val="00E631CC"/>
    <w:rsid w:val="00EB18E0"/>
    <w:rsid w:val="00EB75C5"/>
    <w:rsid w:val="00ED25B6"/>
    <w:rsid w:val="00EF016D"/>
    <w:rsid w:val="00EF69C2"/>
    <w:rsid w:val="00F06CCA"/>
    <w:rsid w:val="00F805C5"/>
    <w:rsid w:val="00F825A4"/>
    <w:rsid w:val="00FA03BA"/>
    <w:rsid w:val="00FC3F32"/>
    <w:rsid w:val="00FE0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31EACD"/>
  <w15:chartTrackingRefBased/>
  <w15:docId w15:val="{6B56B72C-B50D-4FF1-9F01-6E481081B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CCA"/>
    <w:pPr>
      <w:spacing w:before="240" w:after="120" w:line="40" w:lineRule="atLeast"/>
    </w:pPr>
    <w:rPr>
      <w:rFonts w:ascii="Arial" w:eastAsia="Times New Roman" w:hAnsi="Arial" w:cs="Times New Roman"/>
      <w:sz w:val="24"/>
      <w:szCs w:val="24"/>
      <w:lang w:val="en"/>
    </w:rPr>
  </w:style>
  <w:style w:type="paragraph" w:styleId="Heading1">
    <w:name w:val="heading 1"/>
    <w:basedOn w:val="Heading2"/>
    <w:next w:val="Normal"/>
    <w:link w:val="Heading1Char"/>
    <w:qFormat/>
    <w:rsid w:val="00CD08E3"/>
    <w:pPr>
      <w:numPr>
        <w:ilvl w:val="0"/>
      </w:numPr>
      <w:outlineLvl w:val="0"/>
    </w:pPr>
  </w:style>
  <w:style w:type="paragraph" w:styleId="Heading2">
    <w:name w:val="heading 2"/>
    <w:basedOn w:val="Normal"/>
    <w:next w:val="Normal"/>
    <w:link w:val="Heading2Char"/>
    <w:unhideWhenUsed/>
    <w:qFormat/>
    <w:rsid w:val="00CD08E3"/>
    <w:pPr>
      <w:numPr>
        <w:ilvl w:val="1"/>
        <w:numId w:val="11"/>
      </w:numPr>
      <w:spacing w:after="240"/>
      <w:ind w:left="432"/>
      <w:contextualSpacing/>
      <w:outlineLvl w:val="1"/>
    </w:pPr>
    <w:rPr>
      <w:rFonts w:cs="Arial"/>
      <w:b/>
    </w:rPr>
  </w:style>
  <w:style w:type="paragraph" w:styleId="Heading3">
    <w:name w:val="heading 3"/>
    <w:basedOn w:val="Heading2"/>
    <w:next w:val="Normal"/>
    <w:link w:val="Heading3Char"/>
    <w:unhideWhenUsed/>
    <w:qFormat/>
    <w:rsid w:val="003B29B5"/>
    <w:pPr>
      <w:numPr>
        <w:ilvl w:val="2"/>
      </w:numPr>
      <w:ind w:left="504"/>
      <w:outlineLvl w:val="2"/>
    </w:pPr>
  </w:style>
  <w:style w:type="paragraph" w:styleId="Heading4">
    <w:name w:val="heading 4"/>
    <w:basedOn w:val="Normal"/>
    <w:next w:val="Normal"/>
    <w:link w:val="Heading4Char"/>
    <w:unhideWhenUsed/>
    <w:qFormat/>
    <w:rsid w:val="00892D73"/>
    <w:pPr>
      <w:keepNext/>
      <w:keepLines/>
      <w:spacing w:before="200"/>
      <w:outlineLvl w:val="3"/>
    </w:pPr>
    <w:rPr>
      <w:rFonts w:ascii="Cambria" w:hAnsi="Cambria"/>
      <w:b/>
      <w:bCs/>
      <w:i/>
      <w:iCs/>
      <w:color w:val="4F81BD"/>
    </w:rPr>
  </w:style>
  <w:style w:type="paragraph" w:styleId="Heading5">
    <w:name w:val="heading 5"/>
    <w:basedOn w:val="Normal"/>
    <w:next w:val="Normal"/>
    <w:link w:val="Heading5Char"/>
    <w:unhideWhenUsed/>
    <w:qFormat/>
    <w:rsid w:val="00892D73"/>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92D73"/>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92D73"/>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92D73"/>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892D7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08E3"/>
    <w:rPr>
      <w:rFonts w:ascii="Arial" w:eastAsia="Times New Roman" w:hAnsi="Arial" w:cs="Arial"/>
      <w:b/>
      <w:sz w:val="24"/>
      <w:szCs w:val="24"/>
      <w:lang w:val="en"/>
    </w:rPr>
  </w:style>
  <w:style w:type="character" w:customStyle="1" w:styleId="Heading2Char">
    <w:name w:val="Heading 2 Char"/>
    <w:basedOn w:val="DefaultParagraphFont"/>
    <w:link w:val="Heading2"/>
    <w:rsid w:val="00CD08E3"/>
    <w:rPr>
      <w:rFonts w:ascii="Arial" w:eastAsia="Times New Roman" w:hAnsi="Arial" w:cs="Arial"/>
      <w:b/>
      <w:sz w:val="24"/>
      <w:szCs w:val="24"/>
      <w:lang w:val="en"/>
    </w:rPr>
  </w:style>
  <w:style w:type="character" w:customStyle="1" w:styleId="Heading3Char">
    <w:name w:val="Heading 3 Char"/>
    <w:basedOn w:val="DefaultParagraphFont"/>
    <w:link w:val="Heading3"/>
    <w:rsid w:val="003B29B5"/>
    <w:rPr>
      <w:rFonts w:ascii="Arial" w:eastAsia="Times New Roman" w:hAnsi="Arial" w:cs="Arial"/>
      <w:b/>
      <w:sz w:val="24"/>
      <w:szCs w:val="24"/>
      <w:lang w:val="en"/>
    </w:rPr>
  </w:style>
  <w:style w:type="character" w:customStyle="1" w:styleId="Heading4Char">
    <w:name w:val="Heading 4 Char"/>
    <w:basedOn w:val="DefaultParagraphFont"/>
    <w:link w:val="Heading4"/>
    <w:rsid w:val="00892D73"/>
    <w:rPr>
      <w:rFonts w:ascii="Cambria" w:eastAsia="Times New Roman" w:hAnsi="Cambria" w:cs="Times New Roman"/>
      <w:b/>
      <w:bCs/>
      <w:i/>
      <w:iCs/>
      <w:color w:val="4F81BD"/>
    </w:rPr>
  </w:style>
  <w:style w:type="character" w:customStyle="1" w:styleId="Heading5Char">
    <w:name w:val="Heading 5 Char"/>
    <w:basedOn w:val="DefaultParagraphFont"/>
    <w:link w:val="Heading5"/>
    <w:rsid w:val="00892D73"/>
    <w:rPr>
      <w:rFonts w:ascii="Cambria" w:eastAsia="Times New Roman" w:hAnsi="Cambria" w:cs="Times New Roman"/>
      <w:color w:val="243F60"/>
    </w:rPr>
  </w:style>
  <w:style w:type="character" w:customStyle="1" w:styleId="Heading6Char">
    <w:name w:val="Heading 6 Char"/>
    <w:basedOn w:val="DefaultParagraphFont"/>
    <w:link w:val="Heading6"/>
    <w:semiHidden/>
    <w:rsid w:val="00892D73"/>
    <w:rPr>
      <w:rFonts w:ascii="Cambria" w:eastAsia="Times New Roman" w:hAnsi="Cambria" w:cs="Times New Roman"/>
      <w:i/>
      <w:iCs/>
      <w:color w:val="243F60"/>
    </w:rPr>
  </w:style>
  <w:style w:type="character" w:customStyle="1" w:styleId="Heading7Char">
    <w:name w:val="Heading 7 Char"/>
    <w:basedOn w:val="DefaultParagraphFont"/>
    <w:link w:val="Heading7"/>
    <w:semiHidden/>
    <w:rsid w:val="00892D73"/>
    <w:rPr>
      <w:rFonts w:ascii="Cambria" w:eastAsia="Times New Roman" w:hAnsi="Cambria" w:cs="Times New Roman"/>
      <w:i/>
      <w:iCs/>
      <w:color w:val="404040"/>
    </w:rPr>
  </w:style>
  <w:style w:type="character" w:customStyle="1" w:styleId="Heading8Char">
    <w:name w:val="Heading 8 Char"/>
    <w:basedOn w:val="DefaultParagraphFont"/>
    <w:link w:val="Heading8"/>
    <w:semiHidden/>
    <w:rsid w:val="00892D73"/>
    <w:rPr>
      <w:rFonts w:ascii="Cambria" w:eastAsia="Times New Roman" w:hAnsi="Cambria" w:cs="Times New Roman"/>
      <w:color w:val="404040"/>
      <w:sz w:val="20"/>
      <w:szCs w:val="20"/>
    </w:rPr>
  </w:style>
  <w:style w:type="character" w:customStyle="1" w:styleId="Heading9Char">
    <w:name w:val="Heading 9 Char"/>
    <w:basedOn w:val="DefaultParagraphFont"/>
    <w:link w:val="Heading9"/>
    <w:semiHidden/>
    <w:rsid w:val="00892D73"/>
    <w:rPr>
      <w:rFonts w:ascii="Cambria" w:eastAsia="Times New Roman" w:hAnsi="Cambria" w:cs="Times New Roman"/>
      <w:i/>
      <w:iCs/>
      <w:color w:val="404040"/>
      <w:sz w:val="20"/>
      <w:szCs w:val="20"/>
    </w:rPr>
  </w:style>
  <w:style w:type="paragraph" w:styleId="ListParagraph">
    <w:name w:val="List Paragraph"/>
    <w:basedOn w:val="Normal"/>
    <w:link w:val="ListParagraphChar"/>
    <w:uiPriority w:val="34"/>
    <w:qFormat/>
    <w:rsid w:val="00892D73"/>
    <w:pPr>
      <w:ind w:left="720"/>
      <w:contextualSpacing/>
    </w:pPr>
  </w:style>
  <w:style w:type="character" w:customStyle="1" w:styleId="ListParagraphChar">
    <w:name w:val="List Paragraph Char"/>
    <w:link w:val="ListParagraph"/>
    <w:uiPriority w:val="34"/>
    <w:rsid w:val="00892D73"/>
    <w:rPr>
      <w:rFonts w:ascii="Times New Roman" w:eastAsia="Times New Roman" w:hAnsi="Times New Roman" w:cs="Times New Roman"/>
    </w:rPr>
  </w:style>
  <w:style w:type="character" w:styleId="Hyperlink">
    <w:name w:val="Hyperlink"/>
    <w:uiPriority w:val="99"/>
    <w:rsid w:val="00892D73"/>
    <w:rPr>
      <w:rFonts w:cs="Times New Roman"/>
      <w:color w:val="0000FF"/>
      <w:u w:val="single"/>
    </w:rPr>
  </w:style>
  <w:style w:type="table" w:styleId="TableGrid">
    <w:name w:val="Table Grid"/>
    <w:basedOn w:val="TableNormal"/>
    <w:uiPriority w:val="59"/>
    <w:rsid w:val="00892D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92D73"/>
    <w:pPr>
      <w:tabs>
        <w:tab w:val="center" w:pos="4320"/>
        <w:tab w:val="right" w:pos="8640"/>
      </w:tabs>
    </w:pPr>
  </w:style>
  <w:style w:type="character" w:customStyle="1" w:styleId="HeaderChar">
    <w:name w:val="Header Char"/>
    <w:basedOn w:val="DefaultParagraphFont"/>
    <w:link w:val="Header"/>
    <w:uiPriority w:val="99"/>
    <w:rsid w:val="00892D73"/>
    <w:rPr>
      <w:rFonts w:ascii="Times New Roman" w:eastAsia="Times New Roman" w:hAnsi="Times New Roman" w:cs="Times New Roman"/>
    </w:rPr>
  </w:style>
  <w:style w:type="paragraph" w:styleId="Footer">
    <w:name w:val="footer"/>
    <w:basedOn w:val="Normal"/>
    <w:link w:val="FooterChar"/>
    <w:uiPriority w:val="99"/>
    <w:rsid w:val="00892D73"/>
    <w:pPr>
      <w:tabs>
        <w:tab w:val="center" w:pos="4320"/>
        <w:tab w:val="right" w:pos="8640"/>
      </w:tabs>
    </w:pPr>
  </w:style>
  <w:style w:type="character" w:customStyle="1" w:styleId="FooterChar">
    <w:name w:val="Footer Char"/>
    <w:basedOn w:val="DefaultParagraphFont"/>
    <w:link w:val="Footer"/>
    <w:uiPriority w:val="99"/>
    <w:rsid w:val="00892D73"/>
    <w:rPr>
      <w:rFonts w:ascii="Times New Roman" w:eastAsia="Times New Roman" w:hAnsi="Times New Roman" w:cs="Times New Roman"/>
    </w:rPr>
  </w:style>
  <w:style w:type="paragraph" w:styleId="BodyText">
    <w:name w:val="Body Text"/>
    <w:basedOn w:val="Normal"/>
    <w:link w:val="BodyTextChar"/>
    <w:uiPriority w:val="99"/>
    <w:rsid w:val="00892D73"/>
  </w:style>
  <w:style w:type="character" w:customStyle="1" w:styleId="BodyTextChar">
    <w:name w:val="Body Text Char"/>
    <w:basedOn w:val="DefaultParagraphFont"/>
    <w:link w:val="BodyText"/>
    <w:uiPriority w:val="99"/>
    <w:rsid w:val="00892D73"/>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892D73"/>
    <w:rPr>
      <w:rFonts w:ascii="Tahoma" w:hAnsi="Tahoma" w:cs="Tahoma"/>
      <w:sz w:val="16"/>
      <w:szCs w:val="16"/>
    </w:rPr>
  </w:style>
  <w:style w:type="character" w:customStyle="1" w:styleId="BalloonTextChar">
    <w:name w:val="Balloon Text Char"/>
    <w:basedOn w:val="DefaultParagraphFont"/>
    <w:link w:val="BalloonText"/>
    <w:uiPriority w:val="99"/>
    <w:rsid w:val="00892D73"/>
    <w:rPr>
      <w:rFonts w:ascii="Tahoma" w:eastAsia="Times New Roman" w:hAnsi="Tahoma" w:cs="Tahoma"/>
      <w:sz w:val="16"/>
      <w:szCs w:val="16"/>
    </w:rPr>
  </w:style>
  <w:style w:type="paragraph" w:customStyle="1" w:styleId="Default">
    <w:name w:val="Default"/>
    <w:rsid w:val="00892D73"/>
    <w:pPr>
      <w:autoSpaceDE w:val="0"/>
      <w:autoSpaceDN w:val="0"/>
      <w:adjustRightInd w:val="0"/>
      <w:spacing w:after="0" w:line="240" w:lineRule="auto"/>
    </w:pPr>
    <w:rPr>
      <w:rFonts w:ascii="Symbol" w:eastAsia="Times New Roman" w:hAnsi="Symbol" w:cs="Times New Roman"/>
      <w:color w:val="000000"/>
      <w:sz w:val="24"/>
      <w:szCs w:val="24"/>
    </w:rPr>
  </w:style>
  <w:style w:type="paragraph" w:styleId="List2">
    <w:name w:val="List 2"/>
    <w:basedOn w:val="Normal"/>
    <w:uiPriority w:val="99"/>
    <w:rsid w:val="00892D73"/>
    <w:pPr>
      <w:ind w:left="720" w:hanging="360"/>
    </w:pPr>
  </w:style>
  <w:style w:type="paragraph" w:customStyle="1" w:styleId="style16">
    <w:name w:val="style16"/>
    <w:basedOn w:val="Normal"/>
    <w:uiPriority w:val="99"/>
    <w:rsid w:val="00892D73"/>
    <w:pPr>
      <w:spacing w:before="100" w:beforeAutospacing="1" w:after="100" w:afterAutospacing="1"/>
    </w:pPr>
  </w:style>
  <w:style w:type="character" w:styleId="Emphasis">
    <w:name w:val="Emphasis"/>
    <w:uiPriority w:val="99"/>
    <w:qFormat/>
    <w:rsid w:val="00892D73"/>
    <w:rPr>
      <w:rFonts w:cs="Times New Roman"/>
      <w:i/>
      <w:iCs/>
    </w:rPr>
  </w:style>
  <w:style w:type="character" w:styleId="CommentReference">
    <w:name w:val="annotation reference"/>
    <w:uiPriority w:val="99"/>
    <w:rsid w:val="00892D73"/>
    <w:rPr>
      <w:rFonts w:cs="Times New Roman"/>
      <w:sz w:val="16"/>
      <w:szCs w:val="16"/>
    </w:rPr>
  </w:style>
  <w:style w:type="paragraph" w:styleId="CommentText">
    <w:name w:val="annotation text"/>
    <w:basedOn w:val="Normal"/>
    <w:link w:val="CommentTextChar"/>
    <w:uiPriority w:val="99"/>
    <w:rsid w:val="00892D73"/>
    <w:rPr>
      <w:sz w:val="20"/>
      <w:szCs w:val="20"/>
    </w:rPr>
  </w:style>
  <w:style w:type="character" w:customStyle="1" w:styleId="CommentTextChar">
    <w:name w:val="Comment Text Char"/>
    <w:basedOn w:val="DefaultParagraphFont"/>
    <w:link w:val="CommentText"/>
    <w:uiPriority w:val="99"/>
    <w:rsid w:val="00892D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92D73"/>
    <w:rPr>
      <w:b/>
      <w:bCs/>
    </w:rPr>
  </w:style>
  <w:style w:type="character" w:customStyle="1" w:styleId="CommentSubjectChar">
    <w:name w:val="Comment Subject Char"/>
    <w:basedOn w:val="CommentTextChar"/>
    <w:link w:val="CommentSubject"/>
    <w:uiPriority w:val="99"/>
    <w:rsid w:val="00892D73"/>
    <w:rPr>
      <w:rFonts w:ascii="Times New Roman" w:eastAsia="Times New Roman" w:hAnsi="Times New Roman" w:cs="Times New Roman"/>
      <w:b/>
      <w:bCs/>
      <w:sz w:val="20"/>
      <w:szCs w:val="20"/>
    </w:rPr>
  </w:style>
  <w:style w:type="paragraph" w:styleId="NormalWeb">
    <w:name w:val="Normal (Web)"/>
    <w:basedOn w:val="Normal"/>
    <w:uiPriority w:val="99"/>
    <w:rsid w:val="00892D73"/>
    <w:pPr>
      <w:spacing w:before="100" w:beforeAutospacing="1" w:after="100" w:afterAutospacing="1"/>
    </w:pPr>
  </w:style>
  <w:style w:type="character" w:styleId="PageNumber">
    <w:name w:val="page number"/>
    <w:rsid w:val="00892D73"/>
    <w:rPr>
      <w:rFonts w:cs="Times New Roman"/>
    </w:rPr>
  </w:style>
  <w:style w:type="paragraph" w:styleId="Revision">
    <w:name w:val="Revision"/>
    <w:hidden/>
    <w:uiPriority w:val="99"/>
    <w:semiHidden/>
    <w:rsid w:val="00892D73"/>
    <w:pPr>
      <w:spacing w:after="0" w:line="240" w:lineRule="auto"/>
    </w:pPr>
    <w:rPr>
      <w:rFonts w:ascii="Times New Roman" w:eastAsia="Times New Roman" w:hAnsi="Times New Roman" w:cs="Times New Roman"/>
    </w:rPr>
  </w:style>
  <w:style w:type="paragraph" w:styleId="PlainText">
    <w:name w:val="Plain Text"/>
    <w:basedOn w:val="Normal"/>
    <w:link w:val="PlainTextChar"/>
    <w:uiPriority w:val="99"/>
    <w:rsid w:val="00892D73"/>
    <w:rPr>
      <w:rFonts w:ascii="Consolas" w:hAnsi="Consolas"/>
      <w:sz w:val="21"/>
      <w:szCs w:val="21"/>
    </w:rPr>
  </w:style>
  <w:style w:type="character" w:customStyle="1" w:styleId="PlainTextChar">
    <w:name w:val="Plain Text Char"/>
    <w:basedOn w:val="DefaultParagraphFont"/>
    <w:link w:val="PlainText"/>
    <w:uiPriority w:val="99"/>
    <w:rsid w:val="00892D73"/>
    <w:rPr>
      <w:rFonts w:ascii="Consolas" w:eastAsia="Times New Roman" w:hAnsi="Consolas" w:cs="Times New Roman"/>
      <w:sz w:val="21"/>
      <w:szCs w:val="21"/>
    </w:rPr>
  </w:style>
  <w:style w:type="character" w:styleId="FollowedHyperlink">
    <w:name w:val="FollowedHyperlink"/>
    <w:uiPriority w:val="99"/>
    <w:rsid w:val="00892D73"/>
    <w:rPr>
      <w:rFonts w:cs="Times New Roman"/>
      <w:color w:val="800080"/>
      <w:u w:val="single"/>
    </w:rPr>
  </w:style>
  <w:style w:type="numbering" w:customStyle="1" w:styleId="A-1">
    <w:name w:val="A-1"/>
    <w:rsid w:val="00892D73"/>
    <w:pPr>
      <w:numPr>
        <w:numId w:val="1"/>
      </w:numPr>
    </w:pPr>
  </w:style>
  <w:style w:type="character" w:styleId="Strong">
    <w:name w:val="Strong"/>
    <w:uiPriority w:val="22"/>
    <w:qFormat/>
    <w:rsid w:val="00892D73"/>
    <w:rPr>
      <w:b/>
      <w:bCs/>
    </w:rPr>
  </w:style>
  <w:style w:type="numbering" w:customStyle="1" w:styleId="Style1">
    <w:name w:val="Style1"/>
    <w:uiPriority w:val="99"/>
    <w:rsid w:val="00892D73"/>
    <w:pPr>
      <w:numPr>
        <w:numId w:val="2"/>
      </w:numPr>
    </w:pPr>
  </w:style>
  <w:style w:type="paragraph" w:customStyle="1" w:styleId="a">
    <w:name w:val="_"/>
    <w:basedOn w:val="Normal"/>
    <w:rsid w:val="00892D73"/>
    <w:pPr>
      <w:widowControl w:val="0"/>
      <w:autoSpaceDE w:val="0"/>
      <w:autoSpaceDN w:val="0"/>
      <w:adjustRightInd w:val="0"/>
      <w:ind w:left="1800" w:hanging="720"/>
    </w:pPr>
    <w:rPr>
      <w:sz w:val="20"/>
    </w:rPr>
  </w:style>
  <w:style w:type="paragraph" w:styleId="TOCHeading">
    <w:name w:val="TOC Heading"/>
    <w:basedOn w:val="Heading1"/>
    <w:next w:val="Normal"/>
    <w:uiPriority w:val="39"/>
    <w:unhideWhenUsed/>
    <w:qFormat/>
    <w:rsid w:val="00892D73"/>
    <w:pPr>
      <w:spacing w:line="276" w:lineRule="auto"/>
      <w:outlineLvl w:val="9"/>
    </w:pPr>
  </w:style>
  <w:style w:type="paragraph" w:styleId="TOC1">
    <w:name w:val="toc 1"/>
    <w:basedOn w:val="Normal"/>
    <w:next w:val="Normal"/>
    <w:autoRedefine/>
    <w:uiPriority w:val="39"/>
    <w:unhideWhenUsed/>
    <w:rsid w:val="00C10335"/>
    <w:pPr>
      <w:spacing w:before="120" w:after="0"/>
    </w:pPr>
    <w:rPr>
      <w:rFonts w:asciiTheme="minorHAnsi" w:hAnsiTheme="minorHAnsi"/>
      <w:b/>
      <w:bCs/>
      <w:i/>
      <w:iCs/>
    </w:rPr>
  </w:style>
  <w:style w:type="paragraph" w:styleId="TOC2">
    <w:name w:val="toc 2"/>
    <w:basedOn w:val="Normal"/>
    <w:next w:val="Normal"/>
    <w:autoRedefine/>
    <w:uiPriority w:val="39"/>
    <w:unhideWhenUsed/>
    <w:rsid w:val="00892D73"/>
    <w:pPr>
      <w:spacing w:before="120" w:after="0"/>
      <w:ind w:left="240"/>
    </w:pPr>
    <w:rPr>
      <w:rFonts w:asciiTheme="minorHAnsi" w:hAnsiTheme="minorHAnsi"/>
      <w:b/>
      <w:bCs/>
      <w:sz w:val="22"/>
      <w:szCs w:val="22"/>
    </w:rPr>
  </w:style>
  <w:style w:type="paragraph" w:styleId="TOC3">
    <w:name w:val="toc 3"/>
    <w:basedOn w:val="Normal"/>
    <w:next w:val="Normal"/>
    <w:autoRedefine/>
    <w:uiPriority w:val="39"/>
    <w:unhideWhenUsed/>
    <w:rsid w:val="00892D73"/>
    <w:pPr>
      <w:spacing w:before="0" w:after="0"/>
      <w:ind w:left="480"/>
    </w:pPr>
    <w:rPr>
      <w:rFonts w:asciiTheme="minorHAnsi" w:hAnsiTheme="minorHAnsi"/>
      <w:sz w:val="20"/>
      <w:szCs w:val="20"/>
    </w:rPr>
  </w:style>
  <w:style w:type="paragraph" w:customStyle="1" w:styleId="pbody">
    <w:name w:val="pbody"/>
    <w:uiPriority w:val="99"/>
    <w:qFormat/>
    <w:rsid w:val="00892D73"/>
    <w:pPr>
      <w:widowControl w:val="0"/>
      <w:adjustRightInd w:val="0"/>
      <w:spacing w:after="120" w:line="360" w:lineRule="atLeast"/>
      <w:jc w:val="both"/>
      <w:textAlignment w:val="baseline"/>
    </w:pPr>
    <w:rPr>
      <w:rFonts w:ascii="Times New Roman" w:eastAsia="Times New Roman" w:hAnsi="Times New Roman" w:cs="Times New Roman"/>
      <w:snapToGrid w:val="0"/>
      <w:kern w:val="22"/>
      <w:sz w:val="24"/>
      <w:szCs w:val="20"/>
    </w:rPr>
  </w:style>
  <w:style w:type="paragraph" w:styleId="BodyTextIndent">
    <w:name w:val="Body Text Indent"/>
    <w:basedOn w:val="Normal"/>
    <w:link w:val="BodyTextIndentChar"/>
    <w:uiPriority w:val="99"/>
    <w:rsid w:val="00892D73"/>
    <w:pPr>
      <w:widowControl w:val="0"/>
      <w:adjustRightInd w:val="0"/>
      <w:ind w:left="360"/>
      <w:textAlignment w:val="baseline"/>
    </w:pPr>
  </w:style>
  <w:style w:type="character" w:customStyle="1" w:styleId="BodyTextIndentChar">
    <w:name w:val="Body Text Indent Char"/>
    <w:basedOn w:val="DefaultParagraphFont"/>
    <w:link w:val="BodyTextIndent"/>
    <w:uiPriority w:val="99"/>
    <w:rsid w:val="00892D73"/>
    <w:rPr>
      <w:rFonts w:ascii="Times New Roman" w:eastAsia="Times New Roman" w:hAnsi="Times New Roman" w:cs="Times New Roman"/>
      <w:sz w:val="24"/>
      <w:szCs w:val="24"/>
    </w:rPr>
  </w:style>
  <w:style w:type="paragraph" w:customStyle="1" w:styleId="EYSubHeader3">
    <w:name w:val="EY Sub Header 3"/>
    <w:basedOn w:val="Heading3"/>
    <w:qFormat/>
    <w:rsid w:val="00892D73"/>
    <w:pPr>
      <w:widowControl w:val="0"/>
      <w:tabs>
        <w:tab w:val="num" w:pos="1134"/>
      </w:tabs>
      <w:adjustRightInd w:val="0"/>
      <w:spacing w:before="0"/>
      <w:ind w:left="1134"/>
      <w:textAlignment w:val="baseline"/>
    </w:pPr>
  </w:style>
  <w:style w:type="paragraph" w:styleId="NoSpacing">
    <w:name w:val="No Spacing"/>
    <w:link w:val="NoSpacingChar"/>
    <w:uiPriority w:val="1"/>
    <w:qFormat/>
    <w:rsid w:val="00892D73"/>
    <w:pPr>
      <w:spacing w:after="0" w:line="240" w:lineRule="auto"/>
    </w:pPr>
    <w:rPr>
      <w:rFonts w:eastAsiaTheme="minorEastAsia"/>
    </w:rPr>
  </w:style>
  <w:style w:type="character" w:customStyle="1" w:styleId="NoSpacingChar">
    <w:name w:val="No Spacing Char"/>
    <w:basedOn w:val="DefaultParagraphFont"/>
    <w:link w:val="NoSpacing"/>
    <w:uiPriority w:val="1"/>
    <w:rsid w:val="00892D73"/>
    <w:rPr>
      <w:rFonts w:eastAsiaTheme="minorEastAsia"/>
    </w:rPr>
  </w:style>
  <w:style w:type="table" w:customStyle="1" w:styleId="TableGrid1">
    <w:name w:val="Table Grid1"/>
    <w:basedOn w:val="TableNormal"/>
    <w:next w:val="TableGrid"/>
    <w:rsid w:val="00892D7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EF69C2"/>
    <w:pPr>
      <w:spacing w:after="480"/>
      <w:jc w:val="center"/>
    </w:pPr>
    <w:rPr>
      <w:b/>
      <w:bCs/>
      <w:szCs w:val="30"/>
    </w:rPr>
  </w:style>
  <w:style w:type="character" w:customStyle="1" w:styleId="TitleChar">
    <w:name w:val="Title Char"/>
    <w:basedOn w:val="DefaultParagraphFont"/>
    <w:link w:val="Title"/>
    <w:uiPriority w:val="10"/>
    <w:rsid w:val="00EF69C2"/>
    <w:rPr>
      <w:rFonts w:ascii="Arial" w:eastAsia="Times New Roman" w:hAnsi="Arial" w:cs="Times New Roman"/>
      <w:b/>
      <w:bCs/>
      <w:sz w:val="24"/>
      <w:szCs w:val="30"/>
      <w:lang w:val="en"/>
    </w:rPr>
  </w:style>
  <w:style w:type="paragraph" w:styleId="TOC4">
    <w:name w:val="toc 4"/>
    <w:basedOn w:val="Normal"/>
    <w:next w:val="Normal"/>
    <w:autoRedefine/>
    <w:uiPriority w:val="39"/>
    <w:semiHidden/>
    <w:unhideWhenUsed/>
    <w:rsid w:val="00F06CCA"/>
    <w:pPr>
      <w:spacing w:before="0" w:after="0"/>
      <w:ind w:left="720"/>
    </w:pPr>
    <w:rPr>
      <w:rFonts w:asciiTheme="minorHAnsi" w:hAnsiTheme="minorHAnsi"/>
      <w:sz w:val="20"/>
      <w:szCs w:val="20"/>
    </w:rPr>
  </w:style>
  <w:style w:type="paragraph" w:styleId="TOC5">
    <w:name w:val="toc 5"/>
    <w:basedOn w:val="Normal"/>
    <w:next w:val="Normal"/>
    <w:autoRedefine/>
    <w:uiPriority w:val="39"/>
    <w:semiHidden/>
    <w:unhideWhenUsed/>
    <w:rsid w:val="00F06CCA"/>
    <w:pPr>
      <w:spacing w:before="0" w:after="0"/>
      <w:ind w:left="960"/>
    </w:pPr>
    <w:rPr>
      <w:rFonts w:asciiTheme="minorHAnsi" w:hAnsiTheme="minorHAnsi"/>
      <w:sz w:val="20"/>
      <w:szCs w:val="20"/>
    </w:rPr>
  </w:style>
  <w:style w:type="paragraph" w:styleId="TOC6">
    <w:name w:val="toc 6"/>
    <w:basedOn w:val="Normal"/>
    <w:next w:val="Normal"/>
    <w:autoRedefine/>
    <w:uiPriority w:val="39"/>
    <w:semiHidden/>
    <w:unhideWhenUsed/>
    <w:rsid w:val="00F06CCA"/>
    <w:pPr>
      <w:spacing w:before="0" w:after="0"/>
      <w:ind w:left="1200"/>
    </w:pPr>
    <w:rPr>
      <w:rFonts w:asciiTheme="minorHAnsi" w:hAnsiTheme="minorHAnsi"/>
      <w:sz w:val="20"/>
      <w:szCs w:val="20"/>
    </w:rPr>
  </w:style>
  <w:style w:type="paragraph" w:styleId="TOC7">
    <w:name w:val="toc 7"/>
    <w:basedOn w:val="Normal"/>
    <w:next w:val="Normal"/>
    <w:autoRedefine/>
    <w:uiPriority w:val="39"/>
    <w:semiHidden/>
    <w:unhideWhenUsed/>
    <w:rsid w:val="00F06CCA"/>
    <w:pPr>
      <w:spacing w:before="0" w:after="0"/>
      <w:ind w:left="1440"/>
    </w:pPr>
    <w:rPr>
      <w:rFonts w:asciiTheme="minorHAnsi" w:hAnsiTheme="minorHAnsi"/>
      <w:sz w:val="20"/>
      <w:szCs w:val="20"/>
    </w:rPr>
  </w:style>
  <w:style w:type="paragraph" w:styleId="TOC8">
    <w:name w:val="toc 8"/>
    <w:basedOn w:val="Normal"/>
    <w:next w:val="Normal"/>
    <w:autoRedefine/>
    <w:uiPriority w:val="39"/>
    <w:semiHidden/>
    <w:unhideWhenUsed/>
    <w:rsid w:val="00F06CCA"/>
    <w:pPr>
      <w:spacing w:before="0" w:after="0"/>
      <w:ind w:left="1680"/>
    </w:pPr>
    <w:rPr>
      <w:rFonts w:asciiTheme="minorHAnsi" w:hAnsiTheme="minorHAnsi"/>
      <w:sz w:val="20"/>
      <w:szCs w:val="20"/>
    </w:rPr>
  </w:style>
  <w:style w:type="paragraph" w:styleId="TOC9">
    <w:name w:val="toc 9"/>
    <w:basedOn w:val="Normal"/>
    <w:next w:val="Normal"/>
    <w:autoRedefine/>
    <w:uiPriority w:val="39"/>
    <w:semiHidden/>
    <w:unhideWhenUsed/>
    <w:rsid w:val="00F06CCA"/>
    <w:pPr>
      <w:spacing w:before="0" w:after="0"/>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47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v_Status xmlns="4a7c33b2-f802-4b94-8d9d-7b3293ec7308">Ready for approval</Dev_Status>
    <Manager xmlns="4a7c33b2-f802-4b94-8d9d-7b3293ec7308">
      <UserInfo>
        <DisplayName/>
        <AccountId xsi:nil="true"/>
        <AccountType/>
      </UserInfo>
    </Manager>
    <SOP_x0020_Release xmlns="358862d2-693e-438f-8856-2a98448a28cc" xsi:nil="true"/>
    <Notes0 xmlns="358862d2-693e-438f-8856-2a98448a28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EA2643991AF745B017D629F7870D6A" ma:contentTypeVersion="31" ma:contentTypeDescription="Create a new document." ma:contentTypeScope="" ma:versionID="38f53c9c50ae8795462a8a9b48ecec14">
  <xsd:schema xmlns:xsd="http://www.w3.org/2001/XMLSchema" xmlns:xs="http://www.w3.org/2001/XMLSchema" xmlns:p="http://schemas.microsoft.com/office/2006/metadata/properties" xmlns:ns2="4a7c33b2-f802-4b94-8d9d-7b3293ec7308" xmlns:ns3="358862d2-693e-438f-8856-2a98448a28cc" targetNamespace="http://schemas.microsoft.com/office/2006/metadata/properties" ma:root="true" ma:fieldsID="e4ecce80e4543c537a89594938f389b6" ns2:_="" ns3:_="">
    <xsd:import namespace="4a7c33b2-f802-4b94-8d9d-7b3293ec7308"/>
    <xsd:import namespace="358862d2-693e-438f-8856-2a98448a28cc"/>
    <xsd:element name="properties">
      <xsd:complexType>
        <xsd:sequence>
          <xsd:element name="documentManagement">
            <xsd:complexType>
              <xsd:all>
                <xsd:element ref="ns2:Dev_Status"/>
                <xsd:element ref="ns3:Notes0" minOccurs="0"/>
                <xsd:element ref="ns3:SOP_x0020_Release" minOccurs="0"/>
                <xsd:element ref="ns2:Manager"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c33b2-f802-4b94-8d9d-7b3293ec7308" elementFormDefault="qualified">
    <xsd:import namespace="http://schemas.microsoft.com/office/2006/documentManagement/types"/>
    <xsd:import namespace="http://schemas.microsoft.com/office/infopath/2007/PartnerControls"/>
    <xsd:element name="Dev_Status" ma:index="8" ma:displayName="Dev_Status" ma:description="Status for developing documents" ma:format="Dropdown" ma:internalName="Dev_Status" ma:readOnly="false">
      <xsd:simpleType>
        <xsd:restriction base="dms:Choice">
          <xsd:enumeration value="N/A"/>
          <xsd:enumeration value="In-queue"/>
          <xsd:enumeration value="In-development"/>
          <xsd:enumeration value="In-review/update"/>
          <xsd:enumeration value="In-QC/Normalization"/>
          <xsd:enumeration value="Ready for approval"/>
          <xsd:enumeration value="Approved"/>
        </xsd:restriction>
      </xsd:simpleType>
    </xsd:element>
    <xsd:element name="Manager" ma:index="11" nillable="true" ma:displayName="Manager:" ma:description="Enter the name of the person responsible for developing the set of SOPs." ma:list="UserInfo" ma:SharePointGroup="0" ma:internalName="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8862d2-693e-438f-8856-2a98448a28cc" elementFormDefault="qualified">
    <xsd:import namespace="http://schemas.microsoft.com/office/2006/documentManagement/types"/>
    <xsd:import namespace="http://schemas.microsoft.com/office/infopath/2007/PartnerControls"/>
    <xsd:element name="Notes0" ma:index="9" nillable="true" ma:displayName="Comments" ma:description="Enter comments or notes here." ma:internalName="Notes0" ma:readOnly="false">
      <xsd:simpleType>
        <xsd:restriction base="dms:Note">
          <xsd:maxLength value="255"/>
        </xsd:restriction>
      </xsd:simpleType>
    </xsd:element>
    <xsd:element name="SOP_x0020_Release" ma:index="10" nillable="true" ma:displayName="SOP Release" ma:internalName="SOP_x0020_Release" ma:readOnly="false">
      <xsd:simpleType>
        <xsd:restriction base="dms:Text">
          <xsd:maxLength value="50"/>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5F1CE-EB16-429C-AA19-DC3D1DBB6057}">
  <ds:schemaRefs>
    <ds:schemaRef ds:uri="http://schemas.microsoft.com/sharepoint/v3/contenttype/forms"/>
  </ds:schemaRefs>
</ds:datastoreItem>
</file>

<file path=customXml/itemProps2.xml><?xml version="1.0" encoding="utf-8"?>
<ds:datastoreItem xmlns:ds="http://schemas.openxmlformats.org/officeDocument/2006/customXml" ds:itemID="{7D1E8CBD-6AAA-4689-A951-4E66CEC9878C}">
  <ds:schemaRefs>
    <ds:schemaRef ds:uri="358862d2-693e-438f-8856-2a98448a28cc"/>
    <ds:schemaRef ds:uri="http://schemas.microsoft.com/office/2006/documentManagement/types"/>
    <ds:schemaRef ds:uri="http://purl.org/dc/terms/"/>
    <ds:schemaRef ds:uri="4a7c33b2-f802-4b94-8d9d-7b3293ec7308"/>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73CD73B-B68B-4CF6-8ED3-961697DB1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c33b2-f802-4b94-8d9d-7b3293ec7308"/>
    <ds:schemaRef ds:uri="358862d2-693e-438f-8856-2a98448a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3672</Words>
  <Characters>20933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Syber Security PWS Sample</vt:lpstr>
    </vt:vector>
  </TitlesOfParts>
  <Company>NITAAC</Company>
  <LinksUpToDate>false</LinksUpToDate>
  <CharactersWithSpaces>24556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Syber Security PWS Sample</dc:title>
  <dc:subject>Performance Work Statement Sample for Cyber-Security Support Services</dc:subject>
  <dc:creator>Miller, Thomas (NIH/OD) [C]</dc:creator>
  <cp:keywords>PWS, Cyber Security, Sample</cp:keywords>
  <dc:description/>
  <cp:lastModifiedBy>Miller, Thomas (NIH/OD) [C]</cp:lastModifiedBy>
  <cp:revision>3</cp:revision>
  <dcterms:created xsi:type="dcterms:W3CDTF">2021-05-24T19:38:00Z</dcterms:created>
  <dcterms:modified xsi:type="dcterms:W3CDTF">2021-07-07T17:51:00Z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0x010100FFEA2643991AF745B017D629F7870D6A</vt:lpwstr>
  </property>
  <property fmtid="{D5CDD505-2E9C-101B-9397-08002B2CF9AE}" pid="3" name="Order">
    <vt:r8>62000</vt:r8>
  </property>
</Properties>
</file>